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2B4C" w14:textId="6E4C5D89" w:rsidR="000D34AF" w:rsidRPr="003D443B" w:rsidRDefault="000D34AF" w:rsidP="000D34AF">
      <w:pPr>
        <w:pStyle w:val="Title"/>
        <w:tabs>
          <w:tab w:val="left" w:pos="9900"/>
        </w:tabs>
        <w:ind w:left="-90" w:right="94"/>
        <w:rPr>
          <w:sz w:val="24"/>
          <w:szCs w:val="24"/>
        </w:rPr>
      </w:pPr>
      <w:r w:rsidRPr="003D443B">
        <w:rPr>
          <w:sz w:val="24"/>
          <w:szCs w:val="24"/>
        </w:rPr>
        <w:t>CITY OF PORTAGE BROWNFIELD REDEVELOPMENT AUTHORITY</w:t>
      </w:r>
    </w:p>
    <w:p w14:paraId="3511CCDD" w14:textId="77777777" w:rsidR="000D34AF" w:rsidRPr="003D443B" w:rsidRDefault="000D34AF" w:rsidP="000D34AF">
      <w:pPr>
        <w:tabs>
          <w:tab w:val="left" w:pos="9900"/>
        </w:tabs>
        <w:ind w:left="-90" w:right="94"/>
        <w:jc w:val="center"/>
        <w:rPr>
          <w:rFonts w:ascii="Times New Roman" w:hAnsi="Times New Roman" w:cs="Times New Roman"/>
          <w:smallCaps/>
          <w:sz w:val="24"/>
          <w:szCs w:val="24"/>
        </w:rPr>
      </w:pPr>
    </w:p>
    <w:p w14:paraId="06ED145A" w14:textId="47D5D398" w:rsidR="000D34AF" w:rsidRPr="003D443B" w:rsidRDefault="000D34AF" w:rsidP="000D34AF">
      <w:pPr>
        <w:pStyle w:val="Subtitle"/>
        <w:tabs>
          <w:tab w:val="left" w:pos="9900"/>
        </w:tabs>
        <w:ind w:left="-90" w:right="94"/>
        <w:rPr>
          <w:sz w:val="24"/>
          <w:szCs w:val="24"/>
        </w:rPr>
      </w:pPr>
      <w:r w:rsidRPr="003D443B">
        <w:rPr>
          <w:sz w:val="24"/>
          <w:szCs w:val="24"/>
        </w:rPr>
        <w:t xml:space="preserve"> </w:t>
      </w:r>
      <w:r w:rsidR="00863090">
        <w:rPr>
          <w:sz w:val="24"/>
          <w:szCs w:val="24"/>
        </w:rPr>
        <w:t>Tuesday</w:t>
      </w:r>
      <w:r w:rsidR="002D6B25">
        <w:rPr>
          <w:sz w:val="24"/>
          <w:szCs w:val="24"/>
        </w:rPr>
        <w:t xml:space="preserve">, </w:t>
      </w:r>
      <w:r w:rsidR="00184918">
        <w:rPr>
          <w:sz w:val="24"/>
          <w:szCs w:val="24"/>
        </w:rPr>
        <w:t>June 5</w:t>
      </w:r>
      <w:r w:rsidR="002D6B25">
        <w:rPr>
          <w:sz w:val="24"/>
          <w:szCs w:val="24"/>
        </w:rPr>
        <w:t>, 2025</w:t>
      </w:r>
    </w:p>
    <w:p w14:paraId="503280E8" w14:textId="77777777" w:rsidR="000D34AF" w:rsidRPr="003D443B" w:rsidRDefault="000D34AF" w:rsidP="000D34AF">
      <w:pPr>
        <w:pStyle w:val="Subtitle"/>
        <w:tabs>
          <w:tab w:val="left" w:pos="9900"/>
        </w:tabs>
        <w:ind w:left="-90" w:right="94"/>
        <w:rPr>
          <w:sz w:val="24"/>
          <w:szCs w:val="24"/>
        </w:rPr>
      </w:pPr>
    </w:p>
    <w:p w14:paraId="189F970A" w14:textId="369BA733" w:rsidR="00510561" w:rsidRDefault="00863090" w:rsidP="000D34AF">
      <w:pPr>
        <w:pStyle w:val="Subtitle"/>
        <w:tabs>
          <w:tab w:val="left" w:pos="9900"/>
        </w:tabs>
        <w:ind w:left="-90" w:right="94"/>
        <w:rPr>
          <w:sz w:val="24"/>
          <w:szCs w:val="24"/>
        </w:rPr>
      </w:pPr>
      <w:r>
        <w:rPr>
          <w:sz w:val="24"/>
          <w:szCs w:val="24"/>
        </w:rPr>
        <w:t>8:0</w:t>
      </w:r>
      <w:r w:rsidR="000D34AF" w:rsidRPr="003D443B">
        <w:rPr>
          <w:sz w:val="24"/>
          <w:szCs w:val="24"/>
        </w:rPr>
        <w:t>0</w:t>
      </w:r>
      <w:r w:rsidR="00D44543">
        <w:rPr>
          <w:sz w:val="24"/>
          <w:szCs w:val="24"/>
        </w:rPr>
        <w:t xml:space="preserve"> </w:t>
      </w:r>
      <w:r w:rsidR="000D34AF" w:rsidRPr="003D443B">
        <w:rPr>
          <w:sz w:val="24"/>
          <w:szCs w:val="24"/>
        </w:rPr>
        <w:t xml:space="preserve">AM </w:t>
      </w:r>
    </w:p>
    <w:p w14:paraId="52DD22EE" w14:textId="259AB846" w:rsidR="000D34AF" w:rsidRDefault="000D34AF" w:rsidP="000D34AF">
      <w:pPr>
        <w:pStyle w:val="Subtitle"/>
        <w:tabs>
          <w:tab w:val="left" w:pos="9900"/>
        </w:tabs>
        <w:ind w:left="-90" w:right="94"/>
        <w:rPr>
          <w:sz w:val="24"/>
          <w:szCs w:val="24"/>
        </w:rPr>
      </w:pPr>
      <w:r w:rsidRPr="003D443B">
        <w:rPr>
          <w:sz w:val="24"/>
          <w:szCs w:val="24"/>
        </w:rPr>
        <w:t xml:space="preserve">Portage </w:t>
      </w:r>
      <w:r w:rsidR="007575C5">
        <w:rPr>
          <w:sz w:val="24"/>
          <w:szCs w:val="24"/>
        </w:rPr>
        <w:t>City Hall, Conference Room 1</w:t>
      </w:r>
    </w:p>
    <w:p w14:paraId="57289375" w14:textId="57363A26" w:rsidR="00465953" w:rsidRPr="003D443B" w:rsidRDefault="007575C5" w:rsidP="000D34AF">
      <w:pPr>
        <w:pStyle w:val="Subtitle"/>
        <w:tabs>
          <w:tab w:val="left" w:pos="9900"/>
        </w:tabs>
        <w:ind w:left="-90" w:right="94"/>
        <w:rPr>
          <w:b w:val="0"/>
          <w:sz w:val="24"/>
          <w:szCs w:val="24"/>
        </w:rPr>
      </w:pPr>
      <w:r>
        <w:rPr>
          <w:sz w:val="24"/>
          <w:szCs w:val="24"/>
        </w:rPr>
        <w:t>7900 S. Westnedge Ave</w:t>
      </w:r>
      <w:r w:rsidR="00465953">
        <w:rPr>
          <w:sz w:val="24"/>
          <w:szCs w:val="24"/>
        </w:rPr>
        <w:t>, Portage MI 49002</w:t>
      </w:r>
    </w:p>
    <w:p w14:paraId="0891DF5A" w14:textId="53E242DD" w:rsidR="000D34AF" w:rsidRPr="003D443B" w:rsidRDefault="000D34AF" w:rsidP="000D34AF">
      <w:pPr>
        <w:ind w:right="94" w:firstLine="360"/>
        <w:jc w:val="both"/>
        <w:rPr>
          <w:rFonts w:ascii="Times New Roman" w:hAnsi="Times New Roman" w:cs="Times New Roman"/>
          <w:sz w:val="24"/>
          <w:szCs w:val="24"/>
        </w:rPr>
      </w:pPr>
      <w:r w:rsidRPr="003D443B">
        <w:rPr>
          <w:rFonts w:ascii="Times New Roman" w:hAnsi="Times New Roman" w:cs="Times New Roman"/>
          <w:sz w:val="24"/>
          <w:szCs w:val="24"/>
        </w:rPr>
        <w:t xml:space="preserve"> </w:t>
      </w:r>
    </w:p>
    <w:p w14:paraId="5F323FD5" w14:textId="0C0F1B5F" w:rsidR="000D34AF" w:rsidRPr="003D443B" w:rsidRDefault="000D34AF" w:rsidP="000D34AF">
      <w:pPr>
        <w:rPr>
          <w:rFonts w:ascii="Times New Roman" w:hAnsi="Times New Roman" w:cs="Times New Roman"/>
          <w:sz w:val="24"/>
          <w:szCs w:val="24"/>
        </w:rPr>
      </w:pPr>
      <w:r w:rsidRPr="003D443B">
        <w:rPr>
          <w:rFonts w:ascii="Times New Roman" w:hAnsi="Times New Roman" w:cs="Times New Roman"/>
          <w:sz w:val="24"/>
          <w:szCs w:val="24"/>
        </w:rPr>
        <w:t xml:space="preserve">The City of Portage Brownfield Redevelopment Authority meeting of </w:t>
      </w:r>
      <w:r w:rsidR="00184918">
        <w:rPr>
          <w:rFonts w:ascii="Times New Roman" w:hAnsi="Times New Roman" w:cs="Times New Roman"/>
          <w:sz w:val="24"/>
          <w:szCs w:val="24"/>
        </w:rPr>
        <w:t>June 5</w:t>
      </w:r>
      <w:r w:rsidR="002D6B25">
        <w:rPr>
          <w:rFonts w:ascii="Times New Roman" w:hAnsi="Times New Roman" w:cs="Times New Roman"/>
          <w:sz w:val="24"/>
          <w:szCs w:val="24"/>
        </w:rPr>
        <w:t>, 2025</w:t>
      </w:r>
      <w:r w:rsidR="00724E73" w:rsidRPr="003D443B">
        <w:rPr>
          <w:rFonts w:ascii="Times New Roman" w:hAnsi="Times New Roman" w:cs="Times New Roman"/>
          <w:sz w:val="24"/>
          <w:szCs w:val="24"/>
        </w:rPr>
        <w:t>,</w:t>
      </w:r>
      <w:r w:rsidRPr="003D443B">
        <w:rPr>
          <w:rFonts w:ascii="Times New Roman" w:hAnsi="Times New Roman" w:cs="Times New Roman"/>
          <w:sz w:val="24"/>
          <w:szCs w:val="24"/>
        </w:rPr>
        <w:t xml:space="preserve"> was called to order by </w:t>
      </w:r>
      <w:r w:rsidR="00392784">
        <w:rPr>
          <w:rFonts w:ascii="Times New Roman" w:hAnsi="Times New Roman" w:cs="Times New Roman"/>
          <w:sz w:val="24"/>
          <w:szCs w:val="24"/>
        </w:rPr>
        <w:t xml:space="preserve">Chair Lewandowski </w:t>
      </w:r>
      <w:r w:rsidRPr="003D443B">
        <w:rPr>
          <w:rFonts w:ascii="Times New Roman" w:hAnsi="Times New Roman" w:cs="Times New Roman"/>
          <w:sz w:val="24"/>
          <w:szCs w:val="24"/>
        </w:rPr>
        <w:t xml:space="preserve">at </w:t>
      </w:r>
      <w:r w:rsidR="00863090">
        <w:rPr>
          <w:rFonts w:ascii="Times New Roman" w:hAnsi="Times New Roman" w:cs="Times New Roman"/>
          <w:sz w:val="24"/>
          <w:szCs w:val="24"/>
        </w:rPr>
        <w:t>8:0</w:t>
      </w:r>
      <w:r w:rsidR="00184918">
        <w:rPr>
          <w:rFonts w:ascii="Times New Roman" w:hAnsi="Times New Roman" w:cs="Times New Roman"/>
          <w:sz w:val="24"/>
          <w:szCs w:val="24"/>
        </w:rPr>
        <w:t>1</w:t>
      </w:r>
      <w:r w:rsidR="009E3E94" w:rsidRPr="003D443B">
        <w:rPr>
          <w:rFonts w:ascii="Times New Roman" w:hAnsi="Times New Roman" w:cs="Times New Roman"/>
          <w:sz w:val="24"/>
          <w:szCs w:val="24"/>
        </w:rPr>
        <w:t xml:space="preserve"> </w:t>
      </w:r>
      <w:r w:rsidRPr="003D443B">
        <w:rPr>
          <w:rFonts w:ascii="Times New Roman" w:hAnsi="Times New Roman" w:cs="Times New Roman"/>
          <w:sz w:val="24"/>
          <w:szCs w:val="24"/>
        </w:rPr>
        <w:t xml:space="preserve">am. </w:t>
      </w:r>
    </w:p>
    <w:p w14:paraId="20B66678" w14:textId="23D058CB" w:rsidR="00986A4C" w:rsidRPr="003D443B" w:rsidRDefault="00986A4C" w:rsidP="00986A4C">
      <w:pPr>
        <w:tabs>
          <w:tab w:val="left" w:pos="9900"/>
        </w:tabs>
        <w:spacing w:line="240" w:lineRule="auto"/>
        <w:ind w:right="94"/>
        <w:jc w:val="both"/>
        <w:rPr>
          <w:rFonts w:ascii="Times New Roman" w:hAnsi="Times New Roman" w:cs="Times New Roman"/>
          <w:b/>
          <w:sz w:val="24"/>
          <w:szCs w:val="24"/>
          <w:u w:val="single"/>
        </w:rPr>
      </w:pPr>
      <w:r w:rsidRPr="003D443B">
        <w:rPr>
          <w:rFonts w:ascii="Times New Roman" w:hAnsi="Times New Roman" w:cs="Times New Roman"/>
          <w:b/>
          <w:sz w:val="24"/>
          <w:szCs w:val="24"/>
          <w:u w:val="single"/>
        </w:rPr>
        <w:t xml:space="preserve">In Attendance </w:t>
      </w:r>
    </w:p>
    <w:p w14:paraId="27766B82" w14:textId="3BF2BB2A" w:rsidR="00392784" w:rsidRPr="003D443B" w:rsidRDefault="00392784" w:rsidP="002D6B25">
      <w:pPr>
        <w:ind w:left="270" w:hanging="270"/>
        <w:rPr>
          <w:rFonts w:ascii="Times New Roman" w:hAnsi="Times New Roman" w:cs="Times New Roman"/>
          <w:b/>
          <w:bCs/>
          <w:sz w:val="24"/>
          <w:szCs w:val="24"/>
          <w:u w:val="single"/>
        </w:rPr>
      </w:pPr>
      <w:r w:rsidRPr="002D6B25">
        <w:rPr>
          <w:rFonts w:ascii="Times New Roman" w:hAnsi="Times New Roman" w:cs="Times New Roman"/>
          <w:sz w:val="24"/>
          <w:szCs w:val="24"/>
          <w:u w:val="single"/>
        </w:rPr>
        <w:t>Board</w:t>
      </w:r>
      <w:r>
        <w:rPr>
          <w:rFonts w:ascii="Times New Roman" w:hAnsi="Times New Roman" w:cs="Times New Roman"/>
          <w:sz w:val="24"/>
          <w:szCs w:val="24"/>
        </w:rPr>
        <w:t xml:space="preserve">: </w:t>
      </w:r>
      <w:r w:rsidR="002D6B25">
        <w:rPr>
          <w:rFonts w:ascii="Times New Roman" w:hAnsi="Times New Roman" w:cs="Times New Roman"/>
          <w:sz w:val="24"/>
          <w:szCs w:val="24"/>
        </w:rPr>
        <w:t>Chair</w:t>
      </w:r>
      <w:r w:rsidR="002D6B25" w:rsidRPr="00392784">
        <w:rPr>
          <w:rFonts w:ascii="Times New Roman" w:hAnsi="Times New Roman" w:cs="Times New Roman"/>
          <w:sz w:val="24"/>
          <w:szCs w:val="24"/>
        </w:rPr>
        <w:t xml:space="preserve"> Keith Lewandowski </w:t>
      </w:r>
      <w:r w:rsidR="002D6B25">
        <w:rPr>
          <w:rFonts w:ascii="Times New Roman" w:hAnsi="Times New Roman" w:cs="Times New Roman"/>
          <w:sz w:val="24"/>
          <w:szCs w:val="24"/>
        </w:rPr>
        <w:t xml:space="preserve">(yes), </w:t>
      </w:r>
      <w:r>
        <w:rPr>
          <w:rFonts w:ascii="Times New Roman" w:hAnsi="Times New Roman" w:cs="Times New Roman"/>
          <w:sz w:val="24"/>
          <w:szCs w:val="24"/>
        </w:rPr>
        <w:t xml:space="preserve">Vice Chair </w:t>
      </w:r>
      <w:r w:rsidRPr="00392784">
        <w:rPr>
          <w:rFonts w:ascii="Times New Roman" w:hAnsi="Times New Roman" w:cs="Times New Roman"/>
          <w:sz w:val="24"/>
          <w:szCs w:val="24"/>
        </w:rPr>
        <w:t xml:space="preserve">Eric Alburtus </w:t>
      </w:r>
      <w:r>
        <w:rPr>
          <w:rFonts w:ascii="Times New Roman" w:hAnsi="Times New Roman" w:cs="Times New Roman"/>
          <w:sz w:val="24"/>
          <w:szCs w:val="24"/>
        </w:rPr>
        <w:t>(</w:t>
      </w:r>
      <w:r w:rsidR="00863090">
        <w:rPr>
          <w:rFonts w:ascii="Times New Roman" w:hAnsi="Times New Roman" w:cs="Times New Roman"/>
          <w:sz w:val="24"/>
          <w:szCs w:val="24"/>
        </w:rPr>
        <w:t>8:</w:t>
      </w:r>
      <w:r w:rsidR="00184918">
        <w:rPr>
          <w:rFonts w:ascii="Times New Roman" w:hAnsi="Times New Roman" w:cs="Times New Roman"/>
          <w:sz w:val="24"/>
          <w:szCs w:val="24"/>
        </w:rPr>
        <w:t>18</w:t>
      </w:r>
      <w:r>
        <w:rPr>
          <w:rFonts w:ascii="Times New Roman" w:hAnsi="Times New Roman" w:cs="Times New Roman"/>
          <w:sz w:val="24"/>
          <w:szCs w:val="24"/>
        </w:rPr>
        <w:t xml:space="preserve">), </w:t>
      </w:r>
      <w:r w:rsidR="002D6B25">
        <w:rPr>
          <w:rFonts w:ascii="Times New Roman" w:hAnsi="Times New Roman" w:cs="Times New Roman"/>
          <w:sz w:val="24"/>
          <w:szCs w:val="24"/>
        </w:rPr>
        <w:t xml:space="preserve">Secretary/Treasurer </w:t>
      </w:r>
      <w:r w:rsidR="002D6B25" w:rsidRPr="00392784">
        <w:rPr>
          <w:rFonts w:ascii="Times New Roman" w:hAnsi="Times New Roman" w:cs="Times New Roman"/>
          <w:sz w:val="24"/>
          <w:szCs w:val="24"/>
        </w:rPr>
        <w:t xml:space="preserve">William Lenehan </w:t>
      </w:r>
      <w:r w:rsidR="002D6B25">
        <w:rPr>
          <w:rFonts w:ascii="Times New Roman" w:hAnsi="Times New Roman" w:cs="Times New Roman"/>
          <w:sz w:val="24"/>
          <w:szCs w:val="24"/>
        </w:rPr>
        <w:t xml:space="preserve">(no), </w:t>
      </w:r>
      <w:r w:rsidRPr="00392784">
        <w:rPr>
          <w:rFonts w:ascii="Times New Roman" w:hAnsi="Times New Roman" w:cs="Times New Roman"/>
          <w:sz w:val="24"/>
          <w:szCs w:val="24"/>
        </w:rPr>
        <w:t>Todd Campbell</w:t>
      </w:r>
      <w:r>
        <w:rPr>
          <w:rFonts w:ascii="Times New Roman" w:hAnsi="Times New Roman" w:cs="Times New Roman"/>
          <w:sz w:val="24"/>
          <w:szCs w:val="24"/>
        </w:rPr>
        <w:t xml:space="preserve"> (yes), </w:t>
      </w:r>
      <w:r w:rsidRPr="00392784">
        <w:rPr>
          <w:rFonts w:ascii="Times New Roman" w:hAnsi="Times New Roman" w:cs="Times New Roman"/>
          <w:sz w:val="24"/>
          <w:szCs w:val="24"/>
        </w:rPr>
        <w:t xml:space="preserve">Bradley Galin </w:t>
      </w:r>
      <w:r>
        <w:rPr>
          <w:rFonts w:ascii="Times New Roman" w:hAnsi="Times New Roman" w:cs="Times New Roman"/>
          <w:sz w:val="24"/>
          <w:szCs w:val="24"/>
        </w:rPr>
        <w:t>(</w:t>
      </w:r>
      <w:r w:rsidR="002D6B25">
        <w:rPr>
          <w:rFonts w:ascii="Times New Roman" w:hAnsi="Times New Roman" w:cs="Times New Roman"/>
          <w:sz w:val="24"/>
          <w:szCs w:val="24"/>
        </w:rPr>
        <w:t>yes</w:t>
      </w:r>
      <w:r>
        <w:rPr>
          <w:rFonts w:ascii="Times New Roman" w:hAnsi="Times New Roman" w:cs="Times New Roman"/>
          <w:sz w:val="24"/>
          <w:szCs w:val="24"/>
        </w:rPr>
        <w:t xml:space="preserve">), </w:t>
      </w:r>
      <w:r w:rsidRPr="00392784">
        <w:rPr>
          <w:rFonts w:ascii="Times New Roman" w:hAnsi="Times New Roman" w:cs="Times New Roman"/>
          <w:sz w:val="24"/>
          <w:szCs w:val="24"/>
        </w:rPr>
        <w:t xml:space="preserve">Karen Gallagher </w:t>
      </w:r>
      <w:r>
        <w:rPr>
          <w:rFonts w:ascii="Times New Roman" w:hAnsi="Times New Roman" w:cs="Times New Roman"/>
          <w:sz w:val="24"/>
          <w:szCs w:val="24"/>
        </w:rPr>
        <w:t>(</w:t>
      </w:r>
      <w:r w:rsidR="00184918">
        <w:rPr>
          <w:rFonts w:ascii="Times New Roman" w:hAnsi="Times New Roman" w:cs="Times New Roman"/>
          <w:sz w:val="24"/>
          <w:szCs w:val="24"/>
        </w:rPr>
        <w:t>yes</w:t>
      </w:r>
      <w:r>
        <w:rPr>
          <w:rFonts w:ascii="Times New Roman" w:hAnsi="Times New Roman" w:cs="Times New Roman"/>
          <w:sz w:val="24"/>
          <w:szCs w:val="24"/>
        </w:rPr>
        <w:t xml:space="preserve">), </w:t>
      </w:r>
      <w:r w:rsidRPr="00392784">
        <w:rPr>
          <w:rFonts w:ascii="Times New Roman" w:hAnsi="Times New Roman" w:cs="Times New Roman"/>
          <w:sz w:val="24"/>
          <w:szCs w:val="24"/>
        </w:rPr>
        <w:t xml:space="preserve">John Herberg </w:t>
      </w:r>
      <w:r>
        <w:rPr>
          <w:rFonts w:ascii="Times New Roman" w:hAnsi="Times New Roman" w:cs="Times New Roman"/>
          <w:sz w:val="24"/>
          <w:szCs w:val="24"/>
        </w:rPr>
        <w:t>(</w:t>
      </w:r>
      <w:r w:rsidR="00863090">
        <w:rPr>
          <w:rFonts w:ascii="Times New Roman" w:hAnsi="Times New Roman" w:cs="Times New Roman"/>
          <w:sz w:val="24"/>
          <w:szCs w:val="24"/>
        </w:rPr>
        <w:t>yes</w:t>
      </w:r>
      <w:r>
        <w:rPr>
          <w:rFonts w:ascii="Times New Roman" w:hAnsi="Times New Roman" w:cs="Times New Roman"/>
          <w:sz w:val="24"/>
          <w:szCs w:val="24"/>
        </w:rPr>
        <w:t xml:space="preserve">), </w:t>
      </w:r>
      <w:r w:rsidRPr="00392784">
        <w:rPr>
          <w:rFonts w:ascii="Times New Roman" w:hAnsi="Times New Roman" w:cs="Times New Roman"/>
          <w:sz w:val="24"/>
          <w:szCs w:val="24"/>
        </w:rPr>
        <w:t xml:space="preserve">Michelle Karpinski </w:t>
      </w:r>
      <w:r>
        <w:rPr>
          <w:rFonts w:ascii="Times New Roman" w:hAnsi="Times New Roman" w:cs="Times New Roman"/>
          <w:sz w:val="24"/>
          <w:szCs w:val="24"/>
        </w:rPr>
        <w:t>(</w:t>
      </w:r>
      <w:r w:rsidR="002D6B25">
        <w:rPr>
          <w:rFonts w:ascii="Times New Roman" w:hAnsi="Times New Roman" w:cs="Times New Roman"/>
          <w:sz w:val="24"/>
          <w:szCs w:val="24"/>
        </w:rPr>
        <w:t>yes</w:t>
      </w:r>
      <w:r>
        <w:rPr>
          <w:rFonts w:ascii="Times New Roman" w:hAnsi="Times New Roman" w:cs="Times New Roman"/>
          <w:sz w:val="24"/>
          <w:szCs w:val="24"/>
        </w:rPr>
        <w:t xml:space="preserve">). </w:t>
      </w:r>
    </w:p>
    <w:p w14:paraId="77259C88" w14:textId="6A030B41" w:rsidR="00986A4C" w:rsidRDefault="00D44543" w:rsidP="002D6B25">
      <w:pPr>
        <w:tabs>
          <w:tab w:val="left" w:pos="9900"/>
        </w:tabs>
        <w:spacing w:line="240" w:lineRule="auto"/>
        <w:ind w:left="270" w:right="94" w:hanging="270"/>
        <w:jc w:val="both"/>
        <w:rPr>
          <w:rFonts w:ascii="Times New Roman" w:hAnsi="Times New Roman" w:cs="Times New Roman"/>
          <w:sz w:val="24"/>
          <w:szCs w:val="24"/>
        </w:rPr>
      </w:pPr>
      <w:r w:rsidRPr="002D6B25">
        <w:rPr>
          <w:rFonts w:ascii="Times New Roman" w:hAnsi="Times New Roman" w:cs="Times New Roman"/>
          <w:sz w:val="24"/>
          <w:szCs w:val="24"/>
          <w:u w:val="single"/>
        </w:rPr>
        <w:t>Staff</w:t>
      </w:r>
      <w:r>
        <w:rPr>
          <w:rFonts w:ascii="Times New Roman" w:hAnsi="Times New Roman" w:cs="Times New Roman"/>
          <w:sz w:val="24"/>
          <w:szCs w:val="24"/>
        </w:rPr>
        <w:t xml:space="preserve">: </w:t>
      </w:r>
      <w:r w:rsidR="002D6B25">
        <w:rPr>
          <w:rFonts w:ascii="Times New Roman" w:hAnsi="Times New Roman" w:cs="Times New Roman"/>
          <w:sz w:val="24"/>
          <w:szCs w:val="24"/>
        </w:rPr>
        <w:t xml:space="preserve">Andrew Falkenberg, Deputy Assessor; </w:t>
      </w:r>
      <w:r w:rsidR="00D94731">
        <w:rPr>
          <w:rFonts w:ascii="Times New Roman" w:hAnsi="Times New Roman" w:cs="Times New Roman"/>
          <w:sz w:val="24"/>
          <w:szCs w:val="24"/>
        </w:rPr>
        <w:t>Jonathon Hallberg</w:t>
      </w:r>
      <w:r w:rsidR="00986A4C" w:rsidRPr="003D443B">
        <w:rPr>
          <w:rFonts w:ascii="Times New Roman" w:hAnsi="Times New Roman" w:cs="Times New Roman"/>
          <w:sz w:val="24"/>
          <w:szCs w:val="24"/>
        </w:rPr>
        <w:t xml:space="preserve">, </w:t>
      </w:r>
      <w:r w:rsidR="00D94731">
        <w:rPr>
          <w:rFonts w:ascii="Times New Roman" w:hAnsi="Times New Roman" w:cs="Times New Roman"/>
          <w:sz w:val="24"/>
          <w:szCs w:val="24"/>
        </w:rPr>
        <w:t xml:space="preserve">Deputy </w:t>
      </w:r>
      <w:r w:rsidR="00986A4C" w:rsidRPr="003D443B">
        <w:rPr>
          <w:rFonts w:ascii="Times New Roman" w:hAnsi="Times New Roman" w:cs="Times New Roman"/>
          <w:sz w:val="24"/>
          <w:szCs w:val="24"/>
        </w:rPr>
        <w:t xml:space="preserve">Director of </w:t>
      </w:r>
      <w:r w:rsidR="00D94731">
        <w:rPr>
          <w:rFonts w:ascii="Times New Roman" w:hAnsi="Times New Roman" w:cs="Times New Roman"/>
          <w:sz w:val="24"/>
          <w:szCs w:val="24"/>
        </w:rPr>
        <w:t>Economic</w:t>
      </w:r>
      <w:r w:rsidR="00986A4C" w:rsidRPr="003D443B">
        <w:rPr>
          <w:rFonts w:ascii="Times New Roman" w:hAnsi="Times New Roman" w:cs="Times New Roman"/>
          <w:sz w:val="24"/>
          <w:szCs w:val="24"/>
        </w:rPr>
        <w:t xml:space="preserve"> Development</w:t>
      </w:r>
      <w:r w:rsidR="007575C5">
        <w:rPr>
          <w:rFonts w:ascii="Times New Roman" w:hAnsi="Times New Roman" w:cs="Times New Roman"/>
          <w:sz w:val="24"/>
          <w:szCs w:val="24"/>
        </w:rPr>
        <w:t xml:space="preserve">; </w:t>
      </w:r>
      <w:r w:rsidR="002D6B25">
        <w:rPr>
          <w:rFonts w:ascii="Times New Roman" w:hAnsi="Times New Roman" w:cs="Times New Roman"/>
          <w:sz w:val="24"/>
          <w:szCs w:val="24"/>
        </w:rPr>
        <w:t>Grant Taylor, Deputy Director of Treasury.</w:t>
      </w:r>
    </w:p>
    <w:p w14:paraId="255722C7" w14:textId="7A5FC1DC" w:rsidR="00D44543" w:rsidRPr="003D443B" w:rsidRDefault="00D44543" w:rsidP="002D6B25">
      <w:pPr>
        <w:tabs>
          <w:tab w:val="left" w:pos="9900"/>
        </w:tabs>
        <w:spacing w:line="240" w:lineRule="auto"/>
        <w:ind w:left="270" w:right="94" w:hanging="270"/>
        <w:jc w:val="both"/>
        <w:rPr>
          <w:rFonts w:ascii="Times New Roman" w:hAnsi="Times New Roman" w:cs="Times New Roman"/>
          <w:sz w:val="24"/>
          <w:szCs w:val="24"/>
        </w:rPr>
      </w:pPr>
      <w:r w:rsidRPr="002D6B25">
        <w:rPr>
          <w:rFonts w:ascii="Times New Roman" w:hAnsi="Times New Roman" w:cs="Times New Roman"/>
          <w:sz w:val="24"/>
          <w:szCs w:val="24"/>
          <w:u w:val="single"/>
        </w:rPr>
        <w:t>Guests</w:t>
      </w:r>
      <w:r>
        <w:rPr>
          <w:rFonts w:ascii="Times New Roman" w:hAnsi="Times New Roman" w:cs="Times New Roman"/>
          <w:sz w:val="24"/>
          <w:szCs w:val="24"/>
        </w:rPr>
        <w:t xml:space="preserve">: </w:t>
      </w:r>
      <w:r w:rsidR="00184918">
        <w:rPr>
          <w:rFonts w:ascii="Times New Roman" w:hAnsi="Times New Roman" w:cs="Times New Roman"/>
          <w:sz w:val="24"/>
          <w:szCs w:val="24"/>
        </w:rPr>
        <w:t xml:space="preserve">Joe Agostinelli, Michigan Growth Advisors; </w:t>
      </w:r>
      <w:r w:rsidR="00E37CA7">
        <w:rPr>
          <w:rFonts w:ascii="Times New Roman" w:hAnsi="Times New Roman" w:cs="Times New Roman"/>
          <w:sz w:val="24"/>
          <w:szCs w:val="24"/>
        </w:rPr>
        <w:t>J</w:t>
      </w:r>
      <w:r w:rsidR="00184918">
        <w:rPr>
          <w:rFonts w:ascii="Times New Roman" w:hAnsi="Times New Roman" w:cs="Times New Roman"/>
          <w:sz w:val="24"/>
          <w:szCs w:val="24"/>
        </w:rPr>
        <w:t>ack Gesmundo, AVB; Josh Applegren, AVB</w:t>
      </w:r>
      <w:r w:rsidR="002D6B25">
        <w:rPr>
          <w:rFonts w:ascii="Times New Roman" w:hAnsi="Times New Roman" w:cs="Times New Roman"/>
          <w:sz w:val="24"/>
          <w:szCs w:val="24"/>
        </w:rPr>
        <w:t>.</w:t>
      </w:r>
    </w:p>
    <w:p w14:paraId="78F3164C" w14:textId="22858FC8" w:rsidR="00986A4C" w:rsidRPr="003D443B" w:rsidRDefault="00986A4C" w:rsidP="00986A4C">
      <w:pPr>
        <w:rPr>
          <w:rFonts w:ascii="Times New Roman" w:hAnsi="Times New Roman" w:cs="Times New Roman"/>
          <w:sz w:val="24"/>
          <w:szCs w:val="24"/>
        </w:rPr>
      </w:pPr>
      <w:r w:rsidRPr="003D443B">
        <w:rPr>
          <w:rFonts w:ascii="Times New Roman" w:hAnsi="Times New Roman" w:cs="Times New Roman"/>
          <w:b/>
          <w:bCs/>
          <w:sz w:val="24"/>
          <w:szCs w:val="24"/>
          <w:u w:val="single"/>
        </w:rPr>
        <w:t>Introductions</w:t>
      </w:r>
      <w:r w:rsidRPr="003D443B">
        <w:rPr>
          <w:rFonts w:ascii="Times New Roman" w:hAnsi="Times New Roman" w:cs="Times New Roman"/>
          <w:b/>
          <w:bCs/>
          <w:sz w:val="24"/>
          <w:szCs w:val="24"/>
          <w:u w:val="single"/>
        </w:rPr>
        <w:br/>
      </w:r>
      <w:r w:rsidRPr="003D443B">
        <w:rPr>
          <w:rFonts w:ascii="Times New Roman" w:hAnsi="Times New Roman" w:cs="Times New Roman"/>
          <w:sz w:val="24"/>
          <w:szCs w:val="24"/>
        </w:rPr>
        <w:t>Introduction</w:t>
      </w:r>
      <w:r w:rsidR="00F920C2" w:rsidRPr="003D443B">
        <w:rPr>
          <w:rFonts w:ascii="Times New Roman" w:hAnsi="Times New Roman" w:cs="Times New Roman"/>
          <w:sz w:val="24"/>
          <w:szCs w:val="24"/>
        </w:rPr>
        <w:t xml:space="preserve"> o</w:t>
      </w:r>
      <w:r w:rsidRPr="003D443B">
        <w:rPr>
          <w:rFonts w:ascii="Times New Roman" w:hAnsi="Times New Roman" w:cs="Times New Roman"/>
          <w:sz w:val="24"/>
          <w:szCs w:val="24"/>
        </w:rPr>
        <w:t>f Authority members</w:t>
      </w:r>
      <w:r w:rsidR="00392784">
        <w:rPr>
          <w:rFonts w:ascii="Times New Roman" w:hAnsi="Times New Roman" w:cs="Times New Roman"/>
          <w:sz w:val="24"/>
          <w:szCs w:val="24"/>
        </w:rPr>
        <w:t>, staff, and guests was conducted. The board also reviewed the agenda.</w:t>
      </w:r>
    </w:p>
    <w:p w14:paraId="694A194A" w14:textId="7AF33F65" w:rsidR="009A4835" w:rsidRDefault="00986A4C" w:rsidP="00254D15">
      <w:pPr>
        <w:rPr>
          <w:rFonts w:ascii="Times New Roman" w:hAnsi="Times New Roman" w:cs="Times New Roman"/>
          <w:sz w:val="24"/>
          <w:szCs w:val="24"/>
        </w:rPr>
      </w:pPr>
      <w:r w:rsidRPr="003D443B">
        <w:rPr>
          <w:rFonts w:ascii="Times New Roman" w:hAnsi="Times New Roman" w:cs="Times New Roman"/>
          <w:b/>
          <w:bCs/>
          <w:sz w:val="24"/>
          <w:szCs w:val="24"/>
          <w:u w:val="single"/>
        </w:rPr>
        <w:t>Approval of Minutes</w:t>
      </w:r>
      <w:r w:rsidRPr="003D443B">
        <w:rPr>
          <w:rFonts w:ascii="Times New Roman" w:hAnsi="Times New Roman" w:cs="Times New Roman"/>
          <w:b/>
          <w:bCs/>
          <w:sz w:val="24"/>
          <w:szCs w:val="24"/>
          <w:u w:val="single"/>
        </w:rPr>
        <w:br/>
      </w:r>
      <w:r w:rsidRPr="00254D15">
        <w:rPr>
          <w:rFonts w:ascii="Times New Roman" w:hAnsi="Times New Roman" w:cs="Times New Roman"/>
          <w:b/>
          <w:bCs/>
          <w:i/>
          <w:iCs/>
          <w:sz w:val="24"/>
          <w:szCs w:val="24"/>
          <w:u w:val="single"/>
        </w:rPr>
        <w:t>Motion</w:t>
      </w:r>
      <w:r w:rsidRPr="003D443B">
        <w:rPr>
          <w:rFonts w:ascii="Times New Roman" w:hAnsi="Times New Roman" w:cs="Times New Roman"/>
          <w:sz w:val="24"/>
          <w:szCs w:val="24"/>
        </w:rPr>
        <w:t xml:space="preserve"> by </w:t>
      </w:r>
      <w:r w:rsidR="00863090">
        <w:rPr>
          <w:rFonts w:ascii="Times New Roman" w:hAnsi="Times New Roman" w:cs="Times New Roman"/>
          <w:sz w:val="24"/>
          <w:szCs w:val="24"/>
        </w:rPr>
        <w:t>Campbell</w:t>
      </w:r>
      <w:r w:rsidR="003B0764">
        <w:rPr>
          <w:rFonts w:ascii="Times New Roman" w:hAnsi="Times New Roman" w:cs="Times New Roman"/>
          <w:sz w:val="24"/>
          <w:szCs w:val="24"/>
        </w:rPr>
        <w:t xml:space="preserve">, </w:t>
      </w:r>
      <w:r w:rsidR="00E10577">
        <w:rPr>
          <w:rFonts w:ascii="Times New Roman" w:hAnsi="Times New Roman" w:cs="Times New Roman"/>
          <w:sz w:val="24"/>
          <w:szCs w:val="24"/>
        </w:rPr>
        <w:t>seconded</w:t>
      </w:r>
      <w:r w:rsidR="003B0764">
        <w:rPr>
          <w:rFonts w:ascii="Times New Roman" w:hAnsi="Times New Roman" w:cs="Times New Roman"/>
          <w:sz w:val="24"/>
          <w:szCs w:val="24"/>
        </w:rPr>
        <w:t xml:space="preserve"> by </w:t>
      </w:r>
      <w:r w:rsidR="00184918">
        <w:rPr>
          <w:rFonts w:ascii="Times New Roman" w:hAnsi="Times New Roman" w:cs="Times New Roman"/>
          <w:sz w:val="24"/>
          <w:szCs w:val="24"/>
        </w:rPr>
        <w:t>Herberg</w:t>
      </w:r>
      <w:r w:rsidR="003B0764">
        <w:rPr>
          <w:rFonts w:ascii="Times New Roman" w:hAnsi="Times New Roman" w:cs="Times New Roman"/>
          <w:sz w:val="24"/>
          <w:szCs w:val="24"/>
        </w:rPr>
        <w:t>,</w:t>
      </w:r>
      <w:r w:rsidR="005112AF" w:rsidRPr="003D443B">
        <w:rPr>
          <w:rFonts w:ascii="Times New Roman" w:hAnsi="Times New Roman" w:cs="Times New Roman"/>
          <w:sz w:val="24"/>
          <w:szCs w:val="24"/>
        </w:rPr>
        <w:t xml:space="preserve"> </w:t>
      </w:r>
      <w:r w:rsidRPr="003D443B">
        <w:rPr>
          <w:rFonts w:ascii="Times New Roman" w:hAnsi="Times New Roman" w:cs="Times New Roman"/>
          <w:sz w:val="24"/>
          <w:szCs w:val="24"/>
        </w:rPr>
        <w:t xml:space="preserve">to approve the BRA Meeting Minutes of </w:t>
      </w:r>
      <w:r w:rsidR="00184918">
        <w:rPr>
          <w:rFonts w:ascii="Times New Roman" w:hAnsi="Times New Roman" w:cs="Times New Roman"/>
          <w:sz w:val="24"/>
          <w:szCs w:val="24"/>
        </w:rPr>
        <w:t>April 8</w:t>
      </w:r>
      <w:r w:rsidR="00AE3CA6">
        <w:rPr>
          <w:rFonts w:ascii="Times New Roman" w:hAnsi="Times New Roman" w:cs="Times New Roman"/>
          <w:sz w:val="24"/>
          <w:szCs w:val="24"/>
        </w:rPr>
        <w:t>, 202</w:t>
      </w:r>
      <w:r w:rsidR="00863090">
        <w:rPr>
          <w:rFonts w:ascii="Times New Roman" w:hAnsi="Times New Roman" w:cs="Times New Roman"/>
          <w:sz w:val="24"/>
          <w:szCs w:val="24"/>
        </w:rPr>
        <w:t>5</w:t>
      </w:r>
      <w:r w:rsidR="00D44543">
        <w:rPr>
          <w:rFonts w:ascii="Times New Roman" w:hAnsi="Times New Roman" w:cs="Times New Roman"/>
          <w:sz w:val="24"/>
          <w:szCs w:val="24"/>
        </w:rPr>
        <w:t xml:space="preserve">, </w:t>
      </w:r>
      <w:r w:rsidR="00D94731">
        <w:rPr>
          <w:rFonts w:ascii="Times New Roman" w:hAnsi="Times New Roman" w:cs="Times New Roman"/>
          <w:sz w:val="24"/>
          <w:szCs w:val="24"/>
        </w:rPr>
        <w:t>as submitte</w:t>
      </w:r>
      <w:r w:rsidR="00D44543">
        <w:rPr>
          <w:rFonts w:ascii="Times New Roman" w:hAnsi="Times New Roman" w:cs="Times New Roman"/>
          <w:sz w:val="24"/>
          <w:szCs w:val="24"/>
        </w:rPr>
        <w:t>d</w:t>
      </w:r>
      <w:r w:rsidRPr="003D443B">
        <w:rPr>
          <w:rFonts w:ascii="Times New Roman" w:hAnsi="Times New Roman" w:cs="Times New Roman"/>
          <w:sz w:val="24"/>
          <w:szCs w:val="24"/>
        </w:rPr>
        <w:t xml:space="preserve">. </w:t>
      </w:r>
    </w:p>
    <w:p w14:paraId="048ED1F5" w14:textId="41A24BF9" w:rsidR="005A6644" w:rsidRDefault="00986A4C" w:rsidP="00254D15">
      <w:pPr>
        <w:rPr>
          <w:rFonts w:ascii="Times New Roman" w:hAnsi="Times New Roman" w:cs="Times New Roman"/>
          <w:sz w:val="24"/>
          <w:szCs w:val="24"/>
        </w:rPr>
      </w:pPr>
      <w:r w:rsidRPr="009A4835">
        <w:rPr>
          <w:rFonts w:ascii="Times New Roman" w:hAnsi="Times New Roman" w:cs="Times New Roman"/>
          <w:i/>
          <w:iCs/>
          <w:sz w:val="24"/>
          <w:szCs w:val="24"/>
        </w:rPr>
        <w:t>Motion carrie</w:t>
      </w:r>
      <w:r w:rsidR="00BD7141" w:rsidRPr="009A4835">
        <w:rPr>
          <w:rFonts w:ascii="Times New Roman" w:hAnsi="Times New Roman" w:cs="Times New Roman"/>
          <w:i/>
          <w:iCs/>
          <w:sz w:val="24"/>
          <w:szCs w:val="24"/>
        </w:rPr>
        <w:t xml:space="preserve">d, </w:t>
      </w:r>
      <w:r w:rsidR="00184918">
        <w:rPr>
          <w:rFonts w:ascii="Times New Roman" w:hAnsi="Times New Roman" w:cs="Times New Roman"/>
          <w:i/>
          <w:iCs/>
          <w:sz w:val="24"/>
          <w:szCs w:val="24"/>
        </w:rPr>
        <w:t>7</w:t>
      </w:r>
      <w:r w:rsidR="00BD7141" w:rsidRPr="009A4835">
        <w:rPr>
          <w:rFonts w:ascii="Times New Roman" w:hAnsi="Times New Roman" w:cs="Times New Roman"/>
          <w:i/>
          <w:iCs/>
          <w:sz w:val="24"/>
          <w:szCs w:val="24"/>
        </w:rPr>
        <w:t>-0.</w:t>
      </w:r>
    </w:p>
    <w:p w14:paraId="7EEAD7F5" w14:textId="33477C73" w:rsidR="002D6B25" w:rsidRPr="002D6B25" w:rsidRDefault="006B3847" w:rsidP="002D6B25">
      <w:pPr>
        <w:rPr>
          <w:rFonts w:ascii="Times New Roman" w:hAnsi="Times New Roman" w:cs="Times New Roman"/>
          <w:sz w:val="24"/>
          <w:szCs w:val="24"/>
        </w:rPr>
      </w:pPr>
      <w:r w:rsidRPr="003D443B">
        <w:rPr>
          <w:rFonts w:ascii="Times New Roman" w:hAnsi="Times New Roman" w:cs="Times New Roman"/>
          <w:b/>
          <w:bCs/>
          <w:sz w:val="24"/>
          <w:szCs w:val="24"/>
          <w:u w:val="single"/>
        </w:rPr>
        <w:t>Old</w:t>
      </w:r>
      <w:r w:rsidR="00C4639F" w:rsidRPr="003D443B">
        <w:rPr>
          <w:rFonts w:ascii="Times New Roman" w:hAnsi="Times New Roman" w:cs="Times New Roman"/>
          <w:b/>
          <w:bCs/>
          <w:sz w:val="24"/>
          <w:szCs w:val="24"/>
          <w:u w:val="single"/>
        </w:rPr>
        <w:t xml:space="preserve"> Business</w:t>
      </w:r>
      <w:r w:rsidR="004D331D">
        <w:rPr>
          <w:rFonts w:ascii="Times New Roman" w:hAnsi="Times New Roman" w:cs="Times New Roman"/>
          <w:sz w:val="24"/>
          <w:szCs w:val="24"/>
        </w:rPr>
        <w:t xml:space="preserve"> </w:t>
      </w:r>
      <w:r w:rsidR="002D6B25">
        <w:rPr>
          <w:rFonts w:ascii="Times New Roman" w:hAnsi="Times New Roman" w:cs="Times New Roman"/>
          <w:sz w:val="24"/>
          <w:szCs w:val="24"/>
        </w:rPr>
        <w:t>–</w:t>
      </w:r>
      <w:r w:rsidR="007575C5">
        <w:rPr>
          <w:rFonts w:ascii="Times New Roman" w:hAnsi="Times New Roman" w:cs="Times New Roman"/>
          <w:sz w:val="24"/>
          <w:szCs w:val="24"/>
        </w:rPr>
        <w:t xml:space="preserve"> </w:t>
      </w:r>
      <w:r w:rsidR="00D03628">
        <w:rPr>
          <w:rFonts w:ascii="Times New Roman" w:hAnsi="Times New Roman" w:cs="Times New Roman"/>
          <w:sz w:val="24"/>
          <w:szCs w:val="24"/>
        </w:rPr>
        <w:t xml:space="preserve">Lewandowski requested </w:t>
      </w:r>
      <w:r w:rsidR="00184918">
        <w:rPr>
          <w:rFonts w:ascii="Times New Roman" w:hAnsi="Times New Roman" w:cs="Times New Roman"/>
          <w:sz w:val="24"/>
          <w:szCs w:val="24"/>
        </w:rPr>
        <w:t>any updates on past projects.</w:t>
      </w:r>
      <w:r w:rsidR="00D03628">
        <w:rPr>
          <w:rFonts w:ascii="Times New Roman" w:hAnsi="Times New Roman" w:cs="Times New Roman"/>
          <w:sz w:val="24"/>
          <w:szCs w:val="24"/>
        </w:rPr>
        <w:t xml:space="preserve"> Hallberg mentioned the upcoming Ribbon Cutting for Tall Timbers by AVB, to be held on June 11, 2025. </w:t>
      </w:r>
      <w:r w:rsidR="00184918">
        <w:rPr>
          <w:rFonts w:ascii="Times New Roman" w:hAnsi="Times New Roman" w:cs="Times New Roman"/>
          <w:sz w:val="24"/>
          <w:szCs w:val="24"/>
        </w:rPr>
        <w:t>He apologized to the group for the late notice about, and thanked Herberg for attending, the Groundbreaking for Stanwood Crossings on April 29, 2025</w:t>
      </w:r>
      <w:r w:rsidR="00D03628">
        <w:rPr>
          <w:rFonts w:ascii="Times New Roman" w:hAnsi="Times New Roman" w:cs="Times New Roman"/>
          <w:sz w:val="24"/>
          <w:szCs w:val="24"/>
        </w:rPr>
        <w:t xml:space="preserve">. </w:t>
      </w:r>
      <w:r w:rsidR="00184918">
        <w:rPr>
          <w:rFonts w:ascii="Times New Roman" w:hAnsi="Times New Roman" w:cs="Times New Roman"/>
          <w:sz w:val="24"/>
          <w:szCs w:val="24"/>
        </w:rPr>
        <w:t xml:space="preserve">He also reminded those </w:t>
      </w:r>
      <w:proofErr w:type="gramStart"/>
      <w:r w:rsidR="00184918">
        <w:rPr>
          <w:rFonts w:ascii="Times New Roman" w:hAnsi="Times New Roman" w:cs="Times New Roman"/>
          <w:sz w:val="24"/>
          <w:szCs w:val="24"/>
        </w:rPr>
        <w:t>present</w:t>
      </w:r>
      <w:proofErr w:type="gramEnd"/>
      <w:r w:rsidR="00184918">
        <w:rPr>
          <w:rFonts w:ascii="Times New Roman" w:hAnsi="Times New Roman" w:cs="Times New Roman"/>
          <w:sz w:val="24"/>
          <w:szCs w:val="24"/>
        </w:rPr>
        <w:t xml:space="preserve"> of Allen Edwin’s Groundbreaking event at Oakland Commons, to be held June 12, </w:t>
      </w:r>
      <w:r w:rsidR="00592B6E">
        <w:rPr>
          <w:rFonts w:ascii="Times New Roman" w:hAnsi="Times New Roman" w:cs="Times New Roman"/>
          <w:sz w:val="24"/>
          <w:szCs w:val="24"/>
        </w:rPr>
        <w:t>2025,</w:t>
      </w:r>
      <w:r w:rsidR="00184918">
        <w:rPr>
          <w:rFonts w:ascii="Times New Roman" w:hAnsi="Times New Roman" w:cs="Times New Roman"/>
          <w:sz w:val="24"/>
          <w:szCs w:val="24"/>
        </w:rPr>
        <w:t xml:space="preserve"> and encouraged all to RSVP through the email sent out by Public Information.</w:t>
      </w:r>
    </w:p>
    <w:p w14:paraId="5FC1A72E" w14:textId="7FA6B43B" w:rsidR="00C12691" w:rsidRDefault="006B3847" w:rsidP="007575C5">
      <w:pPr>
        <w:rPr>
          <w:rFonts w:ascii="Times New Roman" w:hAnsi="Times New Roman" w:cs="Times New Roman"/>
          <w:sz w:val="24"/>
          <w:szCs w:val="24"/>
        </w:rPr>
      </w:pPr>
      <w:r w:rsidRPr="003D443B">
        <w:rPr>
          <w:rFonts w:ascii="Times New Roman" w:hAnsi="Times New Roman" w:cs="Times New Roman"/>
          <w:b/>
          <w:bCs/>
          <w:sz w:val="24"/>
          <w:szCs w:val="24"/>
          <w:u w:val="single"/>
        </w:rPr>
        <w:t>New Business</w:t>
      </w:r>
      <w:r w:rsidRPr="003D443B">
        <w:rPr>
          <w:rFonts w:ascii="Times New Roman" w:hAnsi="Times New Roman" w:cs="Times New Roman"/>
          <w:sz w:val="24"/>
          <w:szCs w:val="24"/>
        </w:rPr>
        <w:t xml:space="preserve"> </w:t>
      </w:r>
    </w:p>
    <w:p w14:paraId="505D735C" w14:textId="77777777" w:rsidR="00BA15DB" w:rsidRDefault="00BA15DB" w:rsidP="00BA15DB">
      <w:pPr>
        <w:pStyle w:val="ListParagraph"/>
        <w:numPr>
          <w:ilvl w:val="0"/>
          <w:numId w:val="11"/>
        </w:numPr>
        <w:rPr>
          <w:rFonts w:ascii="Times New Roman" w:hAnsi="Times New Roman" w:cs="Times New Roman"/>
          <w:b/>
          <w:bCs/>
          <w:i/>
          <w:iCs/>
          <w:sz w:val="24"/>
          <w:szCs w:val="24"/>
        </w:rPr>
      </w:pPr>
      <w:r w:rsidRPr="00BA15DB">
        <w:rPr>
          <w:rFonts w:ascii="Times New Roman" w:hAnsi="Times New Roman" w:cs="Times New Roman"/>
          <w:b/>
          <w:bCs/>
          <w:i/>
          <w:iCs/>
          <w:sz w:val="24"/>
          <w:szCs w:val="24"/>
        </w:rPr>
        <w:t>City of Portage Act 381 Brownfield Plan Amendment #15 – “McConley Cove”, 1075 Bacon Ave</w:t>
      </w:r>
      <w:r>
        <w:rPr>
          <w:rFonts w:ascii="Times New Roman" w:hAnsi="Times New Roman" w:cs="Times New Roman"/>
          <w:b/>
          <w:bCs/>
          <w:i/>
          <w:iCs/>
          <w:sz w:val="24"/>
          <w:szCs w:val="24"/>
        </w:rPr>
        <w:t>.</w:t>
      </w:r>
    </w:p>
    <w:p w14:paraId="280BE698" w14:textId="77777777" w:rsidR="00BA15DB" w:rsidRDefault="00BA15DB" w:rsidP="00A17226">
      <w:pPr>
        <w:pStyle w:val="ListParagraph"/>
        <w:ind w:left="360"/>
        <w:rPr>
          <w:rFonts w:ascii="Times New Roman" w:hAnsi="Times New Roman" w:cs="Times New Roman"/>
          <w:sz w:val="24"/>
          <w:szCs w:val="24"/>
        </w:rPr>
      </w:pPr>
    </w:p>
    <w:p w14:paraId="3169C1EA" w14:textId="11E7BB6C" w:rsidR="00A17226" w:rsidRDefault="004B5766" w:rsidP="00592B6E">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Hallbe</w:t>
      </w:r>
      <w:r w:rsidR="00DA15AA">
        <w:rPr>
          <w:rFonts w:ascii="Times New Roman" w:hAnsi="Times New Roman" w:cs="Times New Roman"/>
          <w:sz w:val="24"/>
          <w:szCs w:val="24"/>
        </w:rPr>
        <w:t>r</w:t>
      </w:r>
      <w:r>
        <w:rPr>
          <w:rFonts w:ascii="Times New Roman" w:hAnsi="Times New Roman" w:cs="Times New Roman"/>
          <w:sz w:val="24"/>
          <w:szCs w:val="24"/>
        </w:rPr>
        <w:t xml:space="preserve">g </w:t>
      </w:r>
      <w:r w:rsidR="00A17226">
        <w:rPr>
          <w:rFonts w:ascii="Times New Roman" w:hAnsi="Times New Roman" w:cs="Times New Roman"/>
          <w:sz w:val="24"/>
          <w:szCs w:val="24"/>
        </w:rPr>
        <w:t xml:space="preserve">summarized the contents of the memorandum pertaining to the </w:t>
      </w:r>
      <w:r w:rsidR="00236DFC">
        <w:rPr>
          <w:rFonts w:ascii="Times New Roman" w:hAnsi="Times New Roman" w:cs="Times New Roman"/>
          <w:sz w:val="24"/>
          <w:szCs w:val="24"/>
        </w:rPr>
        <w:t xml:space="preserve">AVD II, LLC, development project called “McConley Cove”, the </w:t>
      </w:r>
      <w:r w:rsidR="00A17226">
        <w:rPr>
          <w:rFonts w:ascii="Times New Roman" w:hAnsi="Times New Roman" w:cs="Times New Roman"/>
          <w:sz w:val="24"/>
          <w:szCs w:val="24"/>
        </w:rPr>
        <w:t xml:space="preserve">Act 381 Brownfield Plan, </w:t>
      </w:r>
      <w:r w:rsidR="001F4FB6">
        <w:rPr>
          <w:rFonts w:ascii="Times New Roman" w:hAnsi="Times New Roman" w:cs="Times New Roman"/>
          <w:sz w:val="24"/>
          <w:szCs w:val="24"/>
        </w:rPr>
        <w:t>TIF Projections,</w:t>
      </w:r>
      <w:r w:rsidR="00A17226">
        <w:rPr>
          <w:rFonts w:ascii="Times New Roman" w:hAnsi="Times New Roman" w:cs="Times New Roman"/>
          <w:sz w:val="24"/>
          <w:szCs w:val="24"/>
        </w:rPr>
        <w:t xml:space="preserve"> </w:t>
      </w:r>
      <w:r w:rsidR="00A17226">
        <w:rPr>
          <w:rFonts w:ascii="Times New Roman" w:hAnsi="Times New Roman" w:cs="Times New Roman"/>
          <w:sz w:val="24"/>
          <w:szCs w:val="24"/>
        </w:rPr>
        <w:lastRenderedPageBreak/>
        <w:t xml:space="preserve">and Draft Development &amp; Reimbursement Agreement. He indicated that the project is </w:t>
      </w:r>
      <w:r w:rsidR="00236DFC">
        <w:rPr>
          <w:rFonts w:ascii="Times New Roman" w:hAnsi="Times New Roman" w:cs="Times New Roman"/>
          <w:sz w:val="24"/>
          <w:szCs w:val="24"/>
        </w:rPr>
        <w:t xml:space="preserve">the first “infrastructure only” application to be received by the board and that it is 100% market-rate housing to be built speculatively over an extended period. </w:t>
      </w:r>
      <w:r w:rsidR="001F4FB6">
        <w:rPr>
          <w:rFonts w:ascii="Times New Roman" w:hAnsi="Times New Roman" w:cs="Times New Roman"/>
          <w:sz w:val="24"/>
          <w:szCs w:val="24"/>
        </w:rPr>
        <w:t xml:space="preserve">As with </w:t>
      </w:r>
      <w:r w:rsidR="00236DFC">
        <w:rPr>
          <w:rFonts w:ascii="Times New Roman" w:hAnsi="Times New Roman" w:cs="Times New Roman"/>
          <w:sz w:val="24"/>
          <w:szCs w:val="24"/>
        </w:rPr>
        <w:t>other recent</w:t>
      </w:r>
      <w:r w:rsidR="001F4FB6">
        <w:rPr>
          <w:rFonts w:ascii="Times New Roman" w:hAnsi="Times New Roman" w:cs="Times New Roman"/>
          <w:sz w:val="24"/>
          <w:szCs w:val="24"/>
        </w:rPr>
        <w:t xml:space="preserve"> </w:t>
      </w:r>
      <w:r w:rsidR="00A17226" w:rsidRPr="00A17226">
        <w:rPr>
          <w:rFonts w:ascii="Times New Roman" w:hAnsi="Times New Roman" w:cs="Times New Roman"/>
          <w:sz w:val="24"/>
          <w:szCs w:val="24"/>
        </w:rPr>
        <w:t>MSHDA Housing TIF application</w:t>
      </w:r>
      <w:r w:rsidR="00236DFC">
        <w:rPr>
          <w:rFonts w:ascii="Times New Roman" w:hAnsi="Times New Roman" w:cs="Times New Roman"/>
          <w:sz w:val="24"/>
          <w:szCs w:val="24"/>
        </w:rPr>
        <w:t>s</w:t>
      </w:r>
      <w:r w:rsidR="001F4FB6">
        <w:rPr>
          <w:rFonts w:ascii="Times New Roman" w:hAnsi="Times New Roman" w:cs="Times New Roman"/>
          <w:sz w:val="24"/>
          <w:szCs w:val="24"/>
        </w:rPr>
        <w:t>, the project has</w:t>
      </w:r>
      <w:r w:rsidR="00A17226">
        <w:rPr>
          <w:rFonts w:ascii="Times New Roman" w:hAnsi="Times New Roman" w:cs="Times New Roman"/>
          <w:sz w:val="24"/>
          <w:szCs w:val="24"/>
        </w:rPr>
        <w:t xml:space="preserve"> a</w:t>
      </w:r>
      <w:r w:rsidR="00A17226" w:rsidRPr="00A17226">
        <w:rPr>
          <w:rFonts w:ascii="Times New Roman" w:hAnsi="Times New Roman" w:cs="Times New Roman"/>
          <w:sz w:val="24"/>
          <w:szCs w:val="24"/>
        </w:rPr>
        <w:t xml:space="preserve">dditional </w:t>
      </w:r>
      <w:r w:rsidR="00A17226">
        <w:rPr>
          <w:rFonts w:ascii="Times New Roman" w:hAnsi="Times New Roman" w:cs="Times New Roman"/>
          <w:sz w:val="24"/>
          <w:szCs w:val="24"/>
        </w:rPr>
        <w:t xml:space="preserve">eligible </w:t>
      </w:r>
      <w:r w:rsidR="00A17226" w:rsidRPr="00A17226">
        <w:rPr>
          <w:rFonts w:ascii="Times New Roman" w:hAnsi="Times New Roman" w:cs="Times New Roman"/>
          <w:sz w:val="24"/>
          <w:szCs w:val="24"/>
        </w:rPr>
        <w:t xml:space="preserve">expenses not </w:t>
      </w:r>
      <w:r w:rsidR="001F4FB6">
        <w:rPr>
          <w:rFonts w:ascii="Times New Roman" w:hAnsi="Times New Roman" w:cs="Times New Roman"/>
          <w:sz w:val="24"/>
          <w:szCs w:val="24"/>
        </w:rPr>
        <w:t xml:space="preserve">typically </w:t>
      </w:r>
      <w:r w:rsidR="00A17226" w:rsidRPr="00A17226">
        <w:rPr>
          <w:rFonts w:ascii="Times New Roman" w:hAnsi="Times New Roman" w:cs="Times New Roman"/>
          <w:sz w:val="24"/>
          <w:szCs w:val="24"/>
        </w:rPr>
        <w:t xml:space="preserve">seen </w:t>
      </w:r>
      <w:r w:rsidR="001F4FB6">
        <w:rPr>
          <w:rFonts w:ascii="Times New Roman" w:hAnsi="Times New Roman" w:cs="Times New Roman"/>
          <w:sz w:val="24"/>
          <w:szCs w:val="24"/>
        </w:rPr>
        <w:t>in Brownfield applications, which</w:t>
      </w:r>
      <w:r w:rsidR="00A17226">
        <w:rPr>
          <w:rFonts w:ascii="Times New Roman" w:hAnsi="Times New Roman" w:cs="Times New Roman"/>
          <w:sz w:val="24"/>
          <w:szCs w:val="24"/>
        </w:rPr>
        <w:t xml:space="preserve"> </w:t>
      </w:r>
      <w:r w:rsidR="00592B6E">
        <w:rPr>
          <w:rFonts w:ascii="Times New Roman" w:hAnsi="Times New Roman" w:cs="Times New Roman"/>
          <w:sz w:val="24"/>
          <w:szCs w:val="24"/>
        </w:rPr>
        <w:t>are related</w:t>
      </w:r>
      <w:r w:rsidR="00A17226">
        <w:rPr>
          <w:rFonts w:ascii="Times New Roman" w:hAnsi="Times New Roman" w:cs="Times New Roman"/>
          <w:sz w:val="24"/>
          <w:szCs w:val="24"/>
        </w:rPr>
        <w:t xml:space="preserve"> to infrastructure on private property, such as landscaping and driveways. </w:t>
      </w:r>
    </w:p>
    <w:p w14:paraId="0DE18D12" w14:textId="59DC0DF4" w:rsidR="00973C26" w:rsidRDefault="00A17226" w:rsidP="00592B6E">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Hallberg explained the </w:t>
      </w:r>
      <w:r w:rsidR="00AB4505">
        <w:rPr>
          <w:rFonts w:ascii="Times New Roman" w:hAnsi="Times New Roman" w:cs="Times New Roman"/>
          <w:sz w:val="24"/>
          <w:szCs w:val="24"/>
        </w:rPr>
        <w:t xml:space="preserve">development would result in </w:t>
      </w:r>
      <w:r w:rsidR="00236DFC">
        <w:rPr>
          <w:rFonts w:ascii="Times New Roman" w:hAnsi="Times New Roman" w:cs="Times New Roman"/>
          <w:sz w:val="24"/>
          <w:szCs w:val="24"/>
        </w:rPr>
        <w:t>54</w:t>
      </w:r>
      <w:r w:rsidR="00AB4505">
        <w:rPr>
          <w:rFonts w:ascii="Times New Roman" w:hAnsi="Times New Roman" w:cs="Times New Roman"/>
          <w:sz w:val="24"/>
          <w:szCs w:val="24"/>
        </w:rPr>
        <w:t xml:space="preserve"> single family home</w:t>
      </w:r>
      <w:r w:rsidR="00236DFC">
        <w:rPr>
          <w:rFonts w:ascii="Times New Roman" w:hAnsi="Times New Roman" w:cs="Times New Roman"/>
          <w:sz w:val="24"/>
          <w:szCs w:val="24"/>
        </w:rPr>
        <w:t xml:space="preserve"> sites and accompanying infrastructure, to be constructed by AVD II, LLC. Afterward, AVB, LLC, would build the homes based upon eight available floor plans and </w:t>
      </w:r>
      <w:r w:rsidR="005B3584">
        <w:rPr>
          <w:rFonts w:ascii="Times New Roman" w:hAnsi="Times New Roman" w:cs="Times New Roman"/>
          <w:sz w:val="24"/>
          <w:szCs w:val="24"/>
        </w:rPr>
        <w:t>several</w:t>
      </w:r>
      <w:r w:rsidR="00236DFC">
        <w:rPr>
          <w:rFonts w:ascii="Times New Roman" w:hAnsi="Times New Roman" w:cs="Times New Roman"/>
          <w:sz w:val="24"/>
          <w:szCs w:val="24"/>
        </w:rPr>
        <w:t xml:space="preserve"> option packages. Because of the build-to-suit nature of the project, buildout is expected to take between six and eight years. However, the applicant has shared a conservative ten-year buildout of five homes per year. While the applicant’s project is for approximately $3.8 million, the affiliate project is anticipated to cost approximately $30 million. </w:t>
      </w:r>
    </w:p>
    <w:p w14:paraId="7855EC3D" w14:textId="37BA77E3" w:rsidR="00561068" w:rsidRDefault="00AB4505" w:rsidP="00592B6E">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Hallberg went through the Brownfield Plan step-by-step. He outlined the list of eligible expenses and how the TIF capture tables were </w:t>
      </w:r>
      <w:r w:rsidR="00BA15DB">
        <w:rPr>
          <w:rFonts w:ascii="Times New Roman" w:hAnsi="Times New Roman" w:cs="Times New Roman"/>
          <w:sz w:val="24"/>
          <w:szCs w:val="24"/>
        </w:rPr>
        <w:t xml:space="preserve">based upon the affiliate company’s development and the risk associated with their efforts, namely that market volatility can affect pricing and the homes will compete for a shrinking demographic of buyers who are paying $450,000 to $650,000 for a new home. </w:t>
      </w:r>
    </w:p>
    <w:p w14:paraId="5283736E" w14:textId="1451465B" w:rsidR="00E71EC3" w:rsidRDefault="00BA15DB" w:rsidP="00592B6E">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Hallberg also indicated that two of the three investment criteria points needed for consideration of simple interest as an eligible expense, and one of the points necessary to qualify for longer than 10 years of capture for eligible expenses, are dependent on AVB, LLC’s activities, not those of the applicant, AVD II, LLC. The applicant and staff negotiated some provisions in the Development and Reimbursement Agreement to ensure compliance with the city’s Brownfield Incentive Policy. </w:t>
      </w:r>
      <w:r w:rsidRPr="00BA15DB">
        <w:rPr>
          <w:rFonts w:ascii="Times New Roman" w:hAnsi="Times New Roman" w:cs="Times New Roman"/>
          <w:sz w:val="24"/>
          <w:szCs w:val="24"/>
        </w:rPr>
        <w:t xml:space="preserve">The allowance of interest shall be contingent upon an affiliate company of AVD II, LLC, constructing all the homes within 10 years of the start of the TIF Capture period homes, and </w:t>
      </w:r>
      <w:r>
        <w:rPr>
          <w:rFonts w:ascii="Times New Roman" w:hAnsi="Times New Roman" w:cs="Times New Roman"/>
          <w:sz w:val="24"/>
          <w:szCs w:val="24"/>
        </w:rPr>
        <w:t>t</w:t>
      </w:r>
      <w:r w:rsidRPr="00BA15DB">
        <w:rPr>
          <w:rFonts w:ascii="Times New Roman" w:hAnsi="Times New Roman" w:cs="Times New Roman"/>
          <w:sz w:val="24"/>
          <w:szCs w:val="24"/>
        </w:rPr>
        <w:t xml:space="preserve">he combined taxable value increase of each home, at the time of certificate of occupancy issuance, </w:t>
      </w:r>
      <w:r>
        <w:rPr>
          <w:rFonts w:ascii="Times New Roman" w:hAnsi="Times New Roman" w:cs="Times New Roman"/>
          <w:sz w:val="24"/>
          <w:szCs w:val="24"/>
        </w:rPr>
        <w:t xml:space="preserve">must </w:t>
      </w:r>
      <w:r w:rsidRPr="00BA15DB">
        <w:rPr>
          <w:rFonts w:ascii="Times New Roman" w:hAnsi="Times New Roman" w:cs="Times New Roman"/>
          <w:sz w:val="24"/>
          <w:szCs w:val="24"/>
        </w:rPr>
        <w:t>total $15 million, and exclude inflation in the taxable value for the years between completion and the end of the ten-year term.</w:t>
      </w:r>
      <w:r>
        <w:rPr>
          <w:rFonts w:ascii="Times New Roman" w:hAnsi="Times New Roman" w:cs="Times New Roman"/>
          <w:sz w:val="24"/>
          <w:szCs w:val="24"/>
        </w:rPr>
        <w:t xml:space="preserve"> Furthermore, to qualify for more than ten years of TIF Capture for recovery of eligible expenses, the combined taxable value increase mentioned must total $10 million under the same requirements. </w:t>
      </w:r>
    </w:p>
    <w:p w14:paraId="3863A7B8" w14:textId="6138B168" w:rsidR="00561068" w:rsidRDefault="003E03B8" w:rsidP="00592B6E">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Galin asked when the TIF capture period would start exactly. Hallberg stated it starts when the developer submits for eligible expense reimbursement, which will be allowed as soon as Council formally accepts the infrastructure </w:t>
      </w:r>
      <w:r w:rsidR="00592B6E">
        <w:rPr>
          <w:rFonts w:ascii="Times New Roman" w:hAnsi="Times New Roman" w:cs="Times New Roman"/>
          <w:sz w:val="24"/>
          <w:szCs w:val="24"/>
        </w:rPr>
        <w:t>improvements but</w:t>
      </w:r>
      <w:r>
        <w:rPr>
          <w:rFonts w:ascii="Times New Roman" w:hAnsi="Times New Roman" w:cs="Times New Roman"/>
          <w:sz w:val="24"/>
          <w:szCs w:val="24"/>
        </w:rPr>
        <w:t xml:space="preserve"> can be delayed for up to five years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ensure time for construction of units. </w:t>
      </w:r>
      <w:r w:rsidR="005B3584">
        <w:rPr>
          <w:rFonts w:ascii="Times New Roman" w:hAnsi="Times New Roman" w:cs="Times New Roman"/>
          <w:sz w:val="24"/>
          <w:szCs w:val="24"/>
        </w:rPr>
        <w:t>He also shared that, because development sometimes occurs in phases, the applicant would be able to make separate submissions for eligible expenses even though the capture period had begun. However, recovery for the later submissions would have a limited time for completion.</w:t>
      </w:r>
    </w:p>
    <w:p w14:paraId="3A931E8C" w14:textId="075A3656" w:rsidR="003E03B8" w:rsidRDefault="003E03B8" w:rsidP="00592B6E">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At Herberg’s request, Gesmundo shared the limits of the condominium association fees and that they generally go toward various landscaping elements along the main causeway and the cul-de-sacs, among other things. Karpinski asked who maintains the roads after they are built. Hallberg </w:t>
      </w:r>
      <w:r>
        <w:rPr>
          <w:rFonts w:ascii="Times New Roman" w:hAnsi="Times New Roman" w:cs="Times New Roman"/>
          <w:sz w:val="24"/>
          <w:szCs w:val="24"/>
        </w:rPr>
        <w:lastRenderedPageBreak/>
        <w:t xml:space="preserve">responded that these </w:t>
      </w:r>
      <w:r w:rsidR="00592B6E">
        <w:rPr>
          <w:rFonts w:ascii="Times New Roman" w:hAnsi="Times New Roman" w:cs="Times New Roman"/>
          <w:sz w:val="24"/>
          <w:szCs w:val="24"/>
        </w:rPr>
        <w:t>would</w:t>
      </w:r>
      <w:r>
        <w:rPr>
          <w:rFonts w:ascii="Times New Roman" w:hAnsi="Times New Roman" w:cs="Times New Roman"/>
          <w:sz w:val="24"/>
          <w:szCs w:val="24"/>
        </w:rPr>
        <w:t xml:space="preserve"> become public roads, along with the sewer and water utilities. Gesmundo shared that some roads stay with the condo association in other developments due to some of the requirements of municipalities related to road widths etc.</w:t>
      </w:r>
    </w:p>
    <w:p w14:paraId="19B643FC" w14:textId="3639BB2E" w:rsidR="00561068" w:rsidRDefault="003E03B8" w:rsidP="00592B6E">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Agostinelli shared that, because school debt millage is not an eligible tax capture fund, the development will result in new revenue to assist with school capital projects and per-pupil funding for schools. Gallagher indicated she liked the connectivity with the other </w:t>
      </w:r>
      <w:proofErr w:type="gramStart"/>
      <w:r>
        <w:rPr>
          <w:rFonts w:ascii="Times New Roman" w:hAnsi="Times New Roman" w:cs="Times New Roman"/>
          <w:sz w:val="24"/>
          <w:szCs w:val="24"/>
        </w:rPr>
        <w:t>neighborhoods</w:t>
      </w:r>
      <w:proofErr w:type="gramEnd"/>
      <w:r>
        <w:rPr>
          <w:rFonts w:ascii="Times New Roman" w:hAnsi="Times New Roman" w:cs="Times New Roman"/>
          <w:sz w:val="24"/>
          <w:szCs w:val="24"/>
        </w:rPr>
        <w:t xml:space="preserve">. </w:t>
      </w:r>
      <w:r w:rsidR="0037245F">
        <w:rPr>
          <w:rFonts w:ascii="Times New Roman" w:hAnsi="Times New Roman" w:cs="Times New Roman"/>
          <w:sz w:val="24"/>
          <w:szCs w:val="24"/>
        </w:rPr>
        <w:t>Albertus shared he saw the value of the special assessments that created walkability along Bacon Ave.</w:t>
      </w:r>
    </w:p>
    <w:p w14:paraId="01B08090" w14:textId="550D2BF7" w:rsidR="00973C26" w:rsidRPr="00F95E9F" w:rsidRDefault="0037245F" w:rsidP="00592B6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At Lewandowski’s request, Gesmundo and </w:t>
      </w:r>
      <w:proofErr w:type="spellStart"/>
      <w:r>
        <w:rPr>
          <w:rFonts w:ascii="Times New Roman" w:hAnsi="Times New Roman" w:cs="Times New Roman"/>
          <w:sz w:val="24"/>
          <w:szCs w:val="24"/>
        </w:rPr>
        <w:t>Applegren</w:t>
      </w:r>
      <w:proofErr w:type="spellEnd"/>
      <w:r>
        <w:rPr>
          <w:rFonts w:ascii="Times New Roman" w:hAnsi="Times New Roman" w:cs="Times New Roman"/>
          <w:sz w:val="24"/>
          <w:szCs w:val="24"/>
        </w:rPr>
        <w:t xml:space="preserve"> shared some details about other projects AVB is currently pursuing.</w:t>
      </w:r>
    </w:p>
    <w:p w14:paraId="13D941BA" w14:textId="2F01E5A6" w:rsidR="0005330E" w:rsidRDefault="00F95E9F" w:rsidP="00592B6E">
      <w:pPr>
        <w:spacing w:after="0"/>
        <w:rPr>
          <w:rFonts w:ascii="Times New Roman" w:hAnsi="Times New Roman" w:cs="Times New Roman"/>
          <w:sz w:val="24"/>
          <w:szCs w:val="24"/>
        </w:rPr>
      </w:pPr>
      <w:r>
        <w:rPr>
          <w:rFonts w:ascii="Times New Roman" w:hAnsi="Times New Roman" w:cs="Times New Roman"/>
          <w:sz w:val="24"/>
          <w:szCs w:val="24"/>
          <w:u w:val="single"/>
        </w:rPr>
        <w:t>Motion</w:t>
      </w:r>
      <w:r>
        <w:rPr>
          <w:rFonts w:ascii="Times New Roman" w:hAnsi="Times New Roman" w:cs="Times New Roman"/>
          <w:sz w:val="24"/>
          <w:szCs w:val="24"/>
        </w:rPr>
        <w:t xml:space="preserve"> by </w:t>
      </w:r>
      <w:r w:rsidR="00436849">
        <w:rPr>
          <w:rFonts w:ascii="Times New Roman" w:hAnsi="Times New Roman" w:cs="Times New Roman"/>
          <w:sz w:val="24"/>
          <w:szCs w:val="24"/>
        </w:rPr>
        <w:t>Campbell</w:t>
      </w:r>
      <w:r w:rsidR="00973C26">
        <w:rPr>
          <w:rFonts w:ascii="Times New Roman" w:hAnsi="Times New Roman" w:cs="Times New Roman"/>
          <w:sz w:val="24"/>
          <w:szCs w:val="24"/>
        </w:rPr>
        <w:t xml:space="preserve">, seconded by </w:t>
      </w:r>
      <w:r w:rsidR="0037245F">
        <w:rPr>
          <w:rFonts w:ascii="Times New Roman" w:hAnsi="Times New Roman" w:cs="Times New Roman"/>
          <w:sz w:val="24"/>
          <w:szCs w:val="24"/>
        </w:rPr>
        <w:t>Gallagher</w:t>
      </w:r>
      <w:r w:rsidR="00436849">
        <w:rPr>
          <w:rFonts w:ascii="Times New Roman" w:hAnsi="Times New Roman" w:cs="Times New Roman"/>
          <w:sz w:val="24"/>
          <w:szCs w:val="24"/>
        </w:rPr>
        <w:t>,</w:t>
      </w:r>
      <w:r w:rsidR="00973C26">
        <w:rPr>
          <w:rFonts w:ascii="Times New Roman" w:hAnsi="Times New Roman" w:cs="Times New Roman"/>
          <w:sz w:val="24"/>
          <w:szCs w:val="24"/>
        </w:rPr>
        <w:t xml:space="preserve"> to </w:t>
      </w:r>
      <w:r w:rsidR="0037245F">
        <w:rPr>
          <w:rFonts w:ascii="Times New Roman" w:hAnsi="Times New Roman" w:cs="Times New Roman"/>
          <w:sz w:val="24"/>
          <w:szCs w:val="24"/>
        </w:rPr>
        <w:t>a</w:t>
      </w:r>
      <w:r w:rsidR="0037245F" w:rsidRPr="0037245F">
        <w:rPr>
          <w:rFonts w:ascii="Times New Roman" w:hAnsi="Times New Roman" w:cs="Times New Roman"/>
          <w:sz w:val="24"/>
          <w:szCs w:val="24"/>
        </w:rPr>
        <w:t>pprove the Act 381 Brownfield Plan and application by American Village Development II, LLC, for “McConley Cove”, 1075 Bacon Avenue, to recommend Portage City Council approval of Brownfield Plan Amendment 1</w:t>
      </w:r>
      <w:r w:rsidR="0037245F">
        <w:rPr>
          <w:rFonts w:ascii="Times New Roman" w:hAnsi="Times New Roman" w:cs="Times New Roman"/>
          <w:sz w:val="24"/>
          <w:szCs w:val="24"/>
        </w:rPr>
        <w:t>5</w:t>
      </w:r>
      <w:r w:rsidR="0037245F" w:rsidRPr="0037245F">
        <w:rPr>
          <w:rFonts w:ascii="Times New Roman" w:hAnsi="Times New Roman" w:cs="Times New Roman"/>
          <w:sz w:val="24"/>
          <w:szCs w:val="24"/>
        </w:rPr>
        <w:t xml:space="preserve"> by resolution at their next appropriate meeting, and to authorize the BRA Board Chair to finalize and execute a Development Agreement and Reimbursement Agreement in support of the Plan with provisions for allowance of interest conditioned upon 1) an affiliate company of AVD II, LLC, constructing all the homes within 10 years of the start of the TIF Capture period, 2) the combined taxable value increase of the homes, at the time of the full tax year following each certificate of occupancy issuance equaling a total of $15 million, excluding any inflation in the taxable value for the years between completion and the end of the ten-year term; and a provision to authorize the 12-year capture period for recovery of eligible expenses contingent on the combined taxable value increase of the homes, at the time of the full tax year following each certificate of occupancy issuance equaling a total of $10 million, excluding any inflation in the taxable value for the years between completion and the end of the ten-year term</w:t>
      </w:r>
      <w:r w:rsidR="00592B6E">
        <w:rPr>
          <w:rFonts w:ascii="Times New Roman" w:hAnsi="Times New Roman" w:cs="Times New Roman"/>
          <w:sz w:val="24"/>
          <w:szCs w:val="24"/>
        </w:rPr>
        <w:t>.</w:t>
      </w:r>
    </w:p>
    <w:p w14:paraId="0A35789A" w14:textId="7EFFDB60" w:rsidR="00F95E9F" w:rsidRPr="007C6C14" w:rsidRDefault="00F95E9F" w:rsidP="00592B6E">
      <w:pPr>
        <w:rPr>
          <w:rFonts w:ascii="Times New Roman" w:hAnsi="Times New Roman" w:cs="Times New Roman"/>
          <w:i/>
          <w:iCs/>
          <w:sz w:val="24"/>
          <w:szCs w:val="24"/>
        </w:rPr>
      </w:pPr>
      <w:r w:rsidRPr="007C6C14">
        <w:rPr>
          <w:rFonts w:ascii="Times New Roman" w:hAnsi="Times New Roman" w:cs="Times New Roman"/>
          <w:i/>
          <w:iCs/>
          <w:sz w:val="24"/>
          <w:szCs w:val="24"/>
        </w:rPr>
        <w:t xml:space="preserve">Motion carried, </w:t>
      </w:r>
      <w:r w:rsidR="0037245F">
        <w:rPr>
          <w:rFonts w:ascii="Times New Roman" w:hAnsi="Times New Roman" w:cs="Times New Roman"/>
          <w:i/>
          <w:iCs/>
          <w:sz w:val="24"/>
          <w:szCs w:val="24"/>
        </w:rPr>
        <w:t>7</w:t>
      </w:r>
      <w:r w:rsidR="00436849">
        <w:rPr>
          <w:rFonts w:ascii="Times New Roman" w:hAnsi="Times New Roman" w:cs="Times New Roman"/>
          <w:i/>
          <w:iCs/>
          <w:sz w:val="24"/>
          <w:szCs w:val="24"/>
        </w:rPr>
        <w:t>-0.</w:t>
      </w:r>
    </w:p>
    <w:p w14:paraId="453C7508" w14:textId="4212CB24" w:rsidR="00184918" w:rsidRPr="004B5766" w:rsidRDefault="00184918" w:rsidP="00184918">
      <w:pPr>
        <w:rPr>
          <w:rFonts w:ascii="Times New Roman" w:hAnsi="Times New Roman" w:cs="Times New Roman"/>
          <w:sz w:val="24"/>
          <w:szCs w:val="24"/>
        </w:rPr>
      </w:pPr>
      <w:r>
        <w:rPr>
          <w:rFonts w:ascii="Times New Roman" w:hAnsi="Times New Roman" w:cs="Times New Roman"/>
          <w:b/>
          <w:bCs/>
          <w:sz w:val="24"/>
          <w:szCs w:val="24"/>
          <w:u w:val="single"/>
        </w:rPr>
        <w:t>Staff Report</w:t>
      </w:r>
      <w:r>
        <w:rPr>
          <w:rFonts w:ascii="Times New Roman" w:hAnsi="Times New Roman" w:cs="Times New Roman"/>
          <w:sz w:val="24"/>
          <w:szCs w:val="24"/>
        </w:rPr>
        <w:t xml:space="preserve"> – In the interest of time, the board agreed to forego the planned training on PA 90 and directed Hallberg to schedule a future meeting to accommodate the training.   </w:t>
      </w:r>
    </w:p>
    <w:p w14:paraId="496B2DFD" w14:textId="2DB94DEF" w:rsidR="00200E0E" w:rsidRDefault="00356245" w:rsidP="00465953">
      <w:pPr>
        <w:rPr>
          <w:rFonts w:ascii="Times New Roman" w:hAnsi="Times New Roman" w:cs="Times New Roman"/>
          <w:sz w:val="24"/>
          <w:szCs w:val="24"/>
        </w:rPr>
      </w:pPr>
      <w:r>
        <w:rPr>
          <w:rFonts w:ascii="Times New Roman" w:hAnsi="Times New Roman" w:cs="Times New Roman"/>
          <w:b/>
          <w:bCs/>
          <w:sz w:val="24"/>
          <w:szCs w:val="24"/>
          <w:u w:val="single"/>
        </w:rPr>
        <w:t>Statements of Citizens</w:t>
      </w:r>
      <w:r>
        <w:rPr>
          <w:rFonts w:ascii="Times New Roman" w:hAnsi="Times New Roman" w:cs="Times New Roman"/>
          <w:b/>
          <w:bCs/>
          <w:sz w:val="24"/>
          <w:szCs w:val="24"/>
        </w:rPr>
        <w:t>:</w:t>
      </w:r>
      <w:r>
        <w:rPr>
          <w:rFonts w:ascii="Times New Roman" w:hAnsi="Times New Roman" w:cs="Times New Roman"/>
          <w:sz w:val="24"/>
          <w:szCs w:val="24"/>
        </w:rPr>
        <w:t xml:space="preserve"> </w:t>
      </w:r>
      <w:r w:rsidR="00436849">
        <w:rPr>
          <w:rFonts w:ascii="Times New Roman" w:hAnsi="Times New Roman" w:cs="Times New Roman"/>
          <w:sz w:val="24"/>
          <w:szCs w:val="24"/>
        </w:rPr>
        <w:t>None.</w:t>
      </w:r>
    </w:p>
    <w:p w14:paraId="2A1EA28E" w14:textId="77777777" w:rsidR="00A11E6B" w:rsidRDefault="00356245">
      <w:pPr>
        <w:rPr>
          <w:rFonts w:ascii="Times New Roman" w:hAnsi="Times New Roman" w:cs="Times New Roman"/>
          <w:b/>
          <w:bCs/>
          <w:sz w:val="24"/>
          <w:szCs w:val="24"/>
        </w:rPr>
      </w:pPr>
      <w:r>
        <w:rPr>
          <w:rFonts w:ascii="Times New Roman" w:hAnsi="Times New Roman" w:cs="Times New Roman"/>
          <w:b/>
          <w:bCs/>
          <w:sz w:val="24"/>
          <w:szCs w:val="24"/>
          <w:u w:val="single"/>
        </w:rPr>
        <w:t>Adjournment</w:t>
      </w:r>
      <w:r>
        <w:rPr>
          <w:rFonts w:ascii="Times New Roman" w:hAnsi="Times New Roman" w:cs="Times New Roman"/>
          <w:b/>
          <w:bCs/>
          <w:sz w:val="24"/>
          <w:szCs w:val="24"/>
        </w:rPr>
        <w:t xml:space="preserve">: </w:t>
      </w:r>
    </w:p>
    <w:p w14:paraId="762473FC" w14:textId="3E94EC44" w:rsidR="00A34583" w:rsidRDefault="00356245" w:rsidP="00592B6E">
      <w:pPr>
        <w:spacing w:after="0"/>
        <w:rPr>
          <w:rFonts w:ascii="Times New Roman" w:hAnsi="Times New Roman" w:cs="Times New Roman"/>
          <w:sz w:val="24"/>
          <w:szCs w:val="24"/>
        </w:rPr>
      </w:pPr>
      <w:r>
        <w:rPr>
          <w:rFonts w:ascii="Times New Roman" w:hAnsi="Times New Roman" w:cs="Times New Roman"/>
          <w:sz w:val="24"/>
          <w:szCs w:val="24"/>
          <w:u w:val="single"/>
        </w:rPr>
        <w:t>Motion</w:t>
      </w:r>
      <w:r>
        <w:rPr>
          <w:rFonts w:ascii="Times New Roman" w:hAnsi="Times New Roman" w:cs="Times New Roman"/>
          <w:sz w:val="24"/>
          <w:szCs w:val="24"/>
        </w:rPr>
        <w:t xml:space="preserve"> by </w:t>
      </w:r>
      <w:r w:rsidR="00592B6E">
        <w:rPr>
          <w:rFonts w:ascii="Times New Roman" w:hAnsi="Times New Roman" w:cs="Times New Roman"/>
          <w:sz w:val="24"/>
          <w:szCs w:val="24"/>
        </w:rPr>
        <w:t>Herberg</w:t>
      </w:r>
      <w:r>
        <w:rPr>
          <w:rFonts w:ascii="Times New Roman" w:hAnsi="Times New Roman" w:cs="Times New Roman"/>
          <w:sz w:val="24"/>
          <w:szCs w:val="24"/>
        </w:rPr>
        <w:t xml:space="preserve">, seconded by </w:t>
      </w:r>
      <w:r w:rsidR="00592B6E">
        <w:rPr>
          <w:rFonts w:ascii="Times New Roman" w:hAnsi="Times New Roman" w:cs="Times New Roman"/>
          <w:sz w:val="24"/>
          <w:szCs w:val="24"/>
        </w:rPr>
        <w:t>Gallagher</w:t>
      </w:r>
      <w:r>
        <w:rPr>
          <w:rFonts w:ascii="Times New Roman" w:hAnsi="Times New Roman" w:cs="Times New Roman"/>
          <w:sz w:val="24"/>
          <w:szCs w:val="24"/>
        </w:rPr>
        <w:t xml:space="preserve">, to adjourn. </w:t>
      </w:r>
    </w:p>
    <w:p w14:paraId="7E50F6A6" w14:textId="6600968F" w:rsidR="00A34583" w:rsidRPr="00A34583" w:rsidRDefault="00356245" w:rsidP="00592B6E">
      <w:pPr>
        <w:rPr>
          <w:rFonts w:ascii="Times New Roman" w:hAnsi="Times New Roman" w:cs="Times New Roman"/>
          <w:i/>
          <w:iCs/>
          <w:sz w:val="24"/>
          <w:szCs w:val="24"/>
        </w:rPr>
      </w:pPr>
      <w:r w:rsidRPr="00A34583">
        <w:rPr>
          <w:rFonts w:ascii="Times New Roman" w:hAnsi="Times New Roman" w:cs="Times New Roman"/>
          <w:i/>
          <w:iCs/>
          <w:sz w:val="24"/>
          <w:szCs w:val="24"/>
        </w:rPr>
        <w:t>Motion carrie</w:t>
      </w:r>
      <w:r w:rsidR="00200E0E" w:rsidRPr="00A34583">
        <w:rPr>
          <w:rFonts w:ascii="Times New Roman" w:hAnsi="Times New Roman" w:cs="Times New Roman"/>
          <w:i/>
          <w:iCs/>
          <w:sz w:val="24"/>
          <w:szCs w:val="24"/>
        </w:rPr>
        <w:t xml:space="preserve">d, </w:t>
      </w:r>
      <w:r w:rsidR="00592B6E">
        <w:rPr>
          <w:rFonts w:ascii="Times New Roman" w:hAnsi="Times New Roman" w:cs="Times New Roman"/>
          <w:i/>
          <w:iCs/>
          <w:sz w:val="24"/>
          <w:szCs w:val="24"/>
        </w:rPr>
        <w:t>7</w:t>
      </w:r>
      <w:r w:rsidR="00200E0E" w:rsidRPr="00A34583">
        <w:rPr>
          <w:rFonts w:ascii="Times New Roman" w:hAnsi="Times New Roman" w:cs="Times New Roman"/>
          <w:i/>
          <w:iCs/>
          <w:sz w:val="24"/>
          <w:szCs w:val="24"/>
        </w:rPr>
        <w:t>-0</w:t>
      </w:r>
      <w:r w:rsidRPr="00A34583">
        <w:rPr>
          <w:rFonts w:ascii="Times New Roman" w:hAnsi="Times New Roman" w:cs="Times New Roman"/>
          <w:i/>
          <w:iCs/>
          <w:sz w:val="24"/>
          <w:szCs w:val="24"/>
        </w:rPr>
        <w:t xml:space="preserve">. </w:t>
      </w:r>
    </w:p>
    <w:p w14:paraId="13381FA6" w14:textId="2A6CDD9F" w:rsidR="00A34583" w:rsidRPr="003D443B" w:rsidRDefault="00185BE4" w:rsidP="00592B6E">
      <w:pPr>
        <w:rPr>
          <w:rFonts w:ascii="Times New Roman" w:hAnsi="Times New Roman" w:cs="Times New Roman"/>
          <w:sz w:val="24"/>
          <w:szCs w:val="24"/>
        </w:rPr>
      </w:pPr>
      <w:r w:rsidRPr="003D443B">
        <w:rPr>
          <w:rFonts w:ascii="Times New Roman" w:hAnsi="Times New Roman" w:cs="Times New Roman"/>
          <w:sz w:val="24"/>
          <w:szCs w:val="24"/>
        </w:rPr>
        <w:t xml:space="preserve">The meeting was adjourned at </w:t>
      </w:r>
      <w:r w:rsidR="00592B6E">
        <w:rPr>
          <w:rFonts w:ascii="Times New Roman" w:hAnsi="Times New Roman" w:cs="Times New Roman"/>
          <w:sz w:val="24"/>
          <w:szCs w:val="24"/>
        </w:rPr>
        <w:t>8:57</w:t>
      </w:r>
      <w:r w:rsidR="004D331D">
        <w:rPr>
          <w:rFonts w:ascii="Times New Roman" w:hAnsi="Times New Roman" w:cs="Times New Roman"/>
          <w:sz w:val="24"/>
          <w:szCs w:val="24"/>
        </w:rPr>
        <w:t>am</w:t>
      </w:r>
      <w:r w:rsidRPr="003D443B">
        <w:rPr>
          <w:rFonts w:ascii="Times New Roman" w:hAnsi="Times New Roman" w:cs="Times New Roman"/>
          <w:sz w:val="24"/>
          <w:szCs w:val="24"/>
        </w:rPr>
        <w:t xml:space="preserve">. </w:t>
      </w:r>
    </w:p>
    <w:p w14:paraId="4D1FCB51" w14:textId="33ABA6FB" w:rsidR="008F463F" w:rsidRPr="003D443B" w:rsidRDefault="000E4E59">
      <w:pPr>
        <w:rPr>
          <w:rFonts w:ascii="Times New Roman" w:hAnsi="Times New Roman" w:cs="Times New Roman"/>
          <w:sz w:val="24"/>
          <w:szCs w:val="24"/>
        </w:rPr>
      </w:pPr>
      <w:r>
        <w:rPr>
          <w:noProof/>
          <w:sz w:val="24"/>
          <w:szCs w:val="24"/>
        </w:rPr>
        <w:drawing>
          <wp:anchor distT="0" distB="0" distL="114300" distR="114300" simplePos="0" relativeHeight="251658240" behindDoc="1" locked="0" layoutInCell="1" allowOverlap="1" wp14:anchorId="0E161EDB" wp14:editId="469D0A42">
            <wp:simplePos x="0" y="0"/>
            <wp:positionH relativeFrom="page">
              <wp:posOffset>323850</wp:posOffset>
            </wp:positionH>
            <wp:positionV relativeFrom="paragraph">
              <wp:posOffset>185420</wp:posOffset>
            </wp:positionV>
            <wp:extent cx="2428875" cy="853739"/>
            <wp:effectExtent l="0" t="0" r="0" b="0"/>
            <wp:wrapNone/>
            <wp:docPr id="1129703957" name="Picture 1" descr="A picture containing black, black and white, invertebrate, monochro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03957" name="Picture 1" descr="A picture containing black, black and white, invertebrate, monochro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8875" cy="853739"/>
                    </a:xfrm>
                    <a:prstGeom prst="rect">
                      <a:avLst/>
                    </a:prstGeom>
                  </pic:spPr>
                </pic:pic>
              </a:graphicData>
            </a:graphic>
            <wp14:sizeRelH relativeFrom="margin">
              <wp14:pctWidth>0</wp14:pctWidth>
            </wp14:sizeRelH>
            <wp14:sizeRelV relativeFrom="margin">
              <wp14:pctHeight>0</wp14:pctHeight>
            </wp14:sizeRelV>
          </wp:anchor>
        </w:drawing>
      </w:r>
      <w:r w:rsidR="008F463F" w:rsidRPr="003D443B">
        <w:rPr>
          <w:rFonts w:ascii="Times New Roman" w:hAnsi="Times New Roman" w:cs="Times New Roman"/>
          <w:sz w:val="24"/>
          <w:szCs w:val="24"/>
        </w:rPr>
        <w:t>Respectfully submitted,</w:t>
      </w:r>
    </w:p>
    <w:p w14:paraId="40EFCC57" w14:textId="77777777" w:rsidR="003C67F8" w:rsidRDefault="003C67F8">
      <w:pPr>
        <w:rPr>
          <w:rFonts w:ascii="Times New Roman" w:hAnsi="Times New Roman" w:cs="Times New Roman"/>
          <w:sz w:val="24"/>
          <w:szCs w:val="24"/>
        </w:rPr>
      </w:pPr>
    </w:p>
    <w:p w14:paraId="2A5F7850" w14:textId="1E8596C8" w:rsidR="00704BA2" w:rsidRPr="00D264F8" w:rsidRDefault="003C67F8">
      <w:pPr>
        <w:rPr>
          <w:rFonts w:ascii="Times New Roman" w:hAnsi="Times New Roman" w:cs="Times New Roman"/>
          <w:sz w:val="24"/>
          <w:szCs w:val="24"/>
        </w:rPr>
      </w:pPr>
      <w:r>
        <w:rPr>
          <w:rFonts w:ascii="Times New Roman" w:hAnsi="Times New Roman" w:cs="Times New Roman"/>
          <w:sz w:val="24"/>
          <w:szCs w:val="24"/>
        </w:rPr>
        <w:t>Jonathon Hallberg</w:t>
      </w:r>
      <w:r w:rsidR="00421A34" w:rsidRPr="003D443B">
        <w:rPr>
          <w:rFonts w:ascii="Times New Roman" w:hAnsi="Times New Roman" w:cs="Times New Roman"/>
          <w:sz w:val="24"/>
          <w:szCs w:val="24"/>
        </w:rPr>
        <w:br/>
        <w:t>D</w:t>
      </w:r>
      <w:r>
        <w:rPr>
          <w:rFonts w:ascii="Times New Roman" w:hAnsi="Times New Roman" w:cs="Times New Roman"/>
          <w:sz w:val="24"/>
          <w:szCs w:val="24"/>
        </w:rPr>
        <w:t>eputy D</w:t>
      </w:r>
      <w:r w:rsidR="00421A34" w:rsidRPr="003D443B">
        <w:rPr>
          <w:rFonts w:ascii="Times New Roman" w:hAnsi="Times New Roman" w:cs="Times New Roman"/>
          <w:sz w:val="24"/>
          <w:szCs w:val="24"/>
        </w:rPr>
        <w:t xml:space="preserve">irector of </w:t>
      </w:r>
      <w:r>
        <w:rPr>
          <w:rFonts w:ascii="Times New Roman" w:hAnsi="Times New Roman" w:cs="Times New Roman"/>
          <w:sz w:val="24"/>
          <w:szCs w:val="24"/>
        </w:rPr>
        <w:t>Economic</w:t>
      </w:r>
      <w:r w:rsidR="00421A34" w:rsidRPr="003D443B">
        <w:rPr>
          <w:rFonts w:ascii="Times New Roman" w:hAnsi="Times New Roman" w:cs="Times New Roman"/>
          <w:sz w:val="24"/>
          <w:szCs w:val="24"/>
        </w:rPr>
        <w:t xml:space="preserve"> Development</w:t>
      </w:r>
      <w:r w:rsidR="008F463F">
        <w:rPr>
          <w:rFonts w:ascii="Times New Roman" w:hAnsi="Times New Roman" w:cs="Times New Roman"/>
          <w:sz w:val="24"/>
          <w:szCs w:val="24"/>
        </w:rPr>
        <w:br/>
      </w:r>
    </w:p>
    <w:sectPr w:rsidR="00704BA2" w:rsidRPr="00D264F8" w:rsidSect="00303395">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7376" w14:textId="77777777" w:rsidR="00D02F29" w:rsidRDefault="00D02F29" w:rsidP="009823FD">
      <w:pPr>
        <w:spacing w:after="0" w:line="240" w:lineRule="auto"/>
      </w:pPr>
      <w:r>
        <w:separator/>
      </w:r>
    </w:p>
  </w:endnote>
  <w:endnote w:type="continuationSeparator" w:id="0">
    <w:p w14:paraId="67841FF9" w14:textId="77777777" w:rsidR="00D02F29" w:rsidRDefault="00D02F29" w:rsidP="0098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6D39A" w14:textId="77777777" w:rsidR="00D02F29" w:rsidRDefault="00D02F29" w:rsidP="009823FD">
      <w:pPr>
        <w:spacing w:after="0" w:line="240" w:lineRule="auto"/>
      </w:pPr>
      <w:r>
        <w:separator/>
      </w:r>
    </w:p>
  </w:footnote>
  <w:footnote w:type="continuationSeparator" w:id="0">
    <w:p w14:paraId="50A84D31" w14:textId="77777777" w:rsidR="00D02F29" w:rsidRDefault="00D02F29" w:rsidP="00982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8EC" w14:textId="7810DD43" w:rsidR="009823FD" w:rsidRDefault="00200E0E" w:rsidP="00200E0E">
    <w:pPr>
      <w:pStyle w:val="Header"/>
      <w:jc w:val="right"/>
      <w:rPr>
        <w:b/>
        <w:bCs/>
        <w:i/>
        <w:iCs/>
        <w:sz w:val="16"/>
        <w:szCs w:val="16"/>
      </w:rPr>
    </w:pPr>
    <w:r>
      <w:rPr>
        <w:b/>
        <w:bCs/>
        <w:i/>
        <w:iCs/>
        <w:sz w:val="16"/>
        <w:szCs w:val="16"/>
      </w:rPr>
      <w:t>Portage Brownfield Redevelopment Authority</w:t>
    </w:r>
  </w:p>
  <w:p w14:paraId="1779FA17" w14:textId="33ED78EA" w:rsidR="00200E0E" w:rsidRPr="00200E0E" w:rsidRDefault="00200E0E" w:rsidP="00200E0E">
    <w:pPr>
      <w:pStyle w:val="Header"/>
      <w:jc w:val="right"/>
      <w:rPr>
        <w:b/>
        <w:bCs/>
        <w:i/>
        <w:iCs/>
        <w:sz w:val="16"/>
        <w:szCs w:val="16"/>
      </w:rPr>
    </w:pPr>
    <w:r>
      <w:rPr>
        <w:b/>
        <w:bCs/>
        <w:i/>
        <w:iCs/>
        <w:sz w:val="16"/>
        <w:szCs w:val="16"/>
      </w:rPr>
      <w:t>Meeting Minutes</w:t>
    </w:r>
    <w:r w:rsidR="00184918">
      <w:rPr>
        <w:b/>
        <w:bCs/>
        <w:i/>
        <w:iCs/>
        <w:sz w:val="16"/>
        <w:szCs w:val="16"/>
      </w:rPr>
      <w:t>, 6/5</w:t>
    </w:r>
    <w:r w:rsidR="002D6B25">
      <w:rPr>
        <w:b/>
        <w:bCs/>
        <w:i/>
        <w:iCs/>
        <w:sz w:val="16"/>
        <w:szCs w:val="16"/>
      </w:rPr>
      <w:t>/2025</w:t>
    </w:r>
    <w:r>
      <w:rPr>
        <w:b/>
        <w:bCs/>
        <w:i/>
        <w:iCs/>
        <w:sz w:val="16"/>
        <w:szCs w:val="16"/>
      </w:rPr>
      <w:t xml:space="preserve">, p. </w:t>
    </w:r>
    <w:r w:rsidRPr="00200E0E">
      <w:rPr>
        <w:b/>
        <w:bCs/>
        <w:i/>
        <w:iCs/>
        <w:sz w:val="16"/>
        <w:szCs w:val="16"/>
      </w:rPr>
      <w:fldChar w:fldCharType="begin"/>
    </w:r>
    <w:r w:rsidRPr="00200E0E">
      <w:rPr>
        <w:b/>
        <w:bCs/>
        <w:i/>
        <w:iCs/>
        <w:sz w:val="16"/>
        <w:szCs w:val="16"/>
      </w:rPr>
      <w:instrText xml:space="preserve"> PAGE   \* MERGEFORMAT </w:instrText>
    </w:r>
    <w:r w:rsidRPr="00200E0E">
      <w:rPr>
        <w:b/>
        <w:bCs/>
        <w:i/>
        <w:iCs/>
        <w:sz w:val="16"/>
        <w:szCs w:val="16"/>
      </w:rPr>
      <w:fldChar w:fldCharType="separate"/>
    </w:r>
    <w:r w:rsidRPr="00200E0E">
      <w:rPr>
        <w:b/>
        <w:bCs/>
        <w:i/>
        <w:iCs/>
        <w:noProof/>
        <w:sz w:val="16"/>
        <w:szCs w:val="16"/>
      </w:rPr>
      <w:t>1</w:t>
    </w:r>
    <w:r w:rsidRPr="00200E0E">
      <w:rPr>
        <w:b/>
        <w:bCs/>
        <w:i/>
        <w:iCs/>
        <w:noProo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8BC"/>
    <w:multiLevelType w:val="hybridMultilevel"/>
    <w:tmpl w:val="24E6F68A"/>
    <w:lvl w:ilvl="0" w:tplc="8E4A140E">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B3D2C"/>
    <w:multiLevelType w:val="hybridMultilevel"/>
    <w:tmpl w:val="88B2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C353F"/>
    <w:multiLevelType w:val="hybridMultilevel"/>
    <w:tmpl w:val="D250F9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E23A44"/>
    <w:multiLevelType w:val="hybridMultilevel"/>
    <w:tmpl w:val="06901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84EFF"/>
    <w:multiLevelType w:val="hybridMultilevel"/>
    <w:tmpl w:val="7E1C78A4"/>
    <w:lvl w:ilvl="0" w:tplc="C310E9A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361398"/>
    <w:multiLevelType w:val="hybridMultilevel"/>
    <w:tmpl w:val="7E1C78A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7FA6888"/>
    <w:multiLevelType w:val="hybridMultilevel"/>
    <w:tmpl w:val="D4F09A6C"/>
    <w:lvl w:ilvl="0" w:tplc="8CEEFAF2">
      <w:start w:val="1"/>
      <w:numFmt w:val="decimal"/>
      <w:lvlText w:val="%1."/>
      <w:lvlJc w:val="left"/>
      <w:pPr>
        <w:ind w:left="360" w:hanging="360"/>
      </w:pPr>
      <w:rPr>
        <w:b/>
        <w:bCs/>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CB4582"/>
    <w:multiLevelType w:val="hybridMultilevel"/>
    <w:tmpl w:val="8606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7E6DF2"/>
    <w:multiLevelType w:val="hybridMultilevel"/>
    <w:tmpl w:val="86063C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A8F104E"/>
    <w:multiLevelType w:val="hybridMultilevel"/>
    <w:tmpl w:val="7E1C78A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EF83CEC"/>
    <w:multiLevelType w:val="hybridMultilevel"/>
    <w:tmpl w:val="BA0E441A"/>
    <w:lvl w:ilvl="0" w:tplc="8CEEFAF2">
      <w:start w:val="1"/>
      <w:numFmt w:val="decimal"/>
      <w:lvlText w:val="%1."/>
      <w:lvlJc w:val="left"/>
      <w:pPr>
        <w:ind w:left="36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658107">
    <w:abstractNumId w:val="1"/>
  </w:num>
  <w:num w:numId="2" w16cid:durableId="1210726121">
    <w:abstractNumId w:val="4"/>
  </w:num>
  <w:num w:numId="3" w16cid:durableId="1787190424">
    <w:abstractNumId w:val="5"/>
  </w:num>
  <w:num w:numId="4" w16cid:durableId="869415486">
    <w:abstractNumId w:val="9"/>
  </w:num>
  <w:num w:numId="5" w16cid:durableId="487745791">
    <w:abstractNumId w:val="7"/>
  </w:num>
  <w:num w:numId="6" w16cid:durableId="822429073">
    <w:abstractNumId w:val="3"/>
  </w:num>
  <w:num w:numId="7" w16cid:durableId="420807558">
    <w:abstractNumId w:val="8"/>
  </w:num>
  <w:num w:numId="8" w16cid:durableId="2130314783">
    <w:abstractNumId w:val="0"/>
  </w:num>
  <w:num w:numId="9" w16cid:durableId="463892390">
    <w:abstractNumId w:val="2"/>
  </w:num>
  <w:num w:numId="10" w16cid:durableId="953176328">
    <w:abstractNumId w:val="6"/>
  </w:num>
  <w:num w:numId="11" w16cid:durableId="10861970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29"/>
    <w:rsid w:val="00006329"/>
    <w:rsid w:val="000135B4"/>
    <w:rsid w:val="00031265"/>
    <w:rsid w:val="0005330E"/>
    <w:rsid w:val="00057CB1"/>
    <w:rsid w:val="000715FB"/>
    <w:rsid w:val="00084CBD"/>
    <w:rsid w:val="000A2C38"/>
    <w:rsid w:val="000C0375"/>
    <w:rsid w:val="000D34AF"/>
    <w:rsid w:val="000E4E59"/>
    <w:rsid w:val="00106EA0"/>
    <w:rsid w:val="00151580"/>
    <w:rsid w:val="0016530C"/>
    <w:rsid w:val="00184918"/>
    <w:rsid w:val="00185BE4"/>
    <w:rsid w:val="001913A1"/>
    <w:rsid w:val="00191CE2"/>
    <w:rsid w:val="001B318D"/>
    <w:rsid w:val="001F4FB6"/>
    <w:rsid w:val="00200E0E"/>
    <w:rsid w:val="0021497B"/>
    <w:rsid w:val="00236DFC"/>
    <w:rsid w:val="00237C4C"/>
    <w:rsid w:val="00254D15"/>
    <w:rsid w:val="00287AB8"/>
    <w:rsid w:val="00296A01"/>
    <w:rsid w:val="002D6B25"/>
    <w:rsid w:val="002E4F06"/>
    <w:rsid w:val="00300BD3"/>
    <w:rsid w:val="00303395"/>
    <w:rsid w:val="00312943"/>
    <w:rsid w:val="00325DD6"/>
    <w:rsid w:val="00331BE5"/>
    <w:rsid w:val="00350B17"/>
    <w:rsid w:val="003551A0"/>
    <w:rsid w:val="00356245"/>
    <w:rsid w:val="0037245F"/>
    <w:rsid w:val="00377C2F"/>
    <w:rsid w:val="0039154C"/>
    <w:rsid w:val="00392784"/>
    <w:rsid w:val="003A5580"/>
    <w:rsid w:val="003B0764"/>
    <w:rsid w:val="003C67F8"/>
    <w:rsid w:val="003D443B"/>
    <w:rsid w:val="003D4FA0"/>
    <w:rsid w:val="003E03B8"/>
    <w:rsid w:val="003E539E"/>
    <w:rsid w:val="003E75DD"/>
    <w:rsid w:val="003F5B26"/>
    <w:rsid w:val="0042003E"/>
    <w:rsid w:val="00421A34"/>
    <w:rsid w:val="00435116"/>
    <w:rsid w:val="00436849"/>
    <w:rsid w:val="00452FAA"/>
    <w:rsid w:val="0045304E"/>
    <w:rsid w:val="00465953"/>
    <w:rsid w:val="00465D95"/>
    <w:rsid w:val="00473D47"/>
    <w:rsid w:val="004A0634"/>
    <w:rsid w:val="004B5766"/>
    <w:rsid w:val="004D331D"/>
    <w:rsid w:val="004D3B6F"/>
    <w:rsid w:val="004F1CC8"/>
    <w:rsid w:val="004F63D9"/>
    <w:rsid w:val="00505580"/>
    <w:rsid w:val="00510561"/>
    <w:rsid w:val="005112AF"/>
    <w:rsid w:val="00557EDA"/>
    <w:rsid w:val="00561068"/>
    <w:rsid w:val="00592B6E"/>
    <w:rsid w:val="005A6644"/>
    <w:rsid w:val="005B3584"/>
    <w:rsid w:val="005B3B4E"/>
    <w:rsid w:val="005E265F"/>
    <w:rsid w:val="00615903"/>
    <w:rsid w:val="00645BA1"/>
    <w:rsid w:val="00663AA5"/>
    <w:rsid w:val="0069605B"/>
    <w:rsid w:val="006A4F56"/>
    <w:rsid w:val="006B3847"/>
    <w:rsid w:val="006B61EB"/>
    <w:rsid w:val="00704BA2"/>
    <w:rsid w:val="00716DF1"/>
    <w:rsid w:val="00724E73"/>
    <w:rsid w:val="007308A9"/>
    <w:rsid w:val="00752487"/>
    <w:rsid w:val="00755626"/>
    <w:rsid w:val="007575C5"/>
    <w:rsid w:val="00790633"/>
    <w:rsid w:val="00792A2D"/>
    <w:rsid w:val="007A4502"/>
    <w:rsid w:val="007C035E"/>
    <w:rsid w:val="007C177F"/>
    <w:rsid w:val="007C6C14"/>
    <w:rsid w:val="007D7403"/>
    <w:rsid w:val="00821C2D"/>
    <w:rsid w:val="00823AD6"/>
    <w:rsid w:val="008245FD"/>
    <w:rsid w:val="0083191F"/>
    <w:rsid w:val="00863090"/>
    <w:rsid w:val="00863B7D"/>
    <w:rsid w:val="008A1E71"/>
    <w:rsid w:val="008D565C"/>
    <w:rsid w:val="008F00AC"/>
    <w:rsid w:val="008F463F"/>
    <w:rsid w:val="00925DBA"/>
    <w:rsid w:val="009329AF"/>
    <w:rsid w:val="00934232"/>
    <w:rsid w:val="00973C26"/>
    <w:rsid w:val="009823FD"/>
    <w:rsid w:val="00986A4C"/>
    <w:rsid w:val="00991349"/>
    <w:rsid w:val="009923E6"/>
    <w:rsid w:val="009A4835"/>
    <w:rsid w:val="009B1B8E"/>
    <w:rsid w:val="009E3E94"/>
    <w:rsid w:val="009E7572"/>
    <w:rsid w:val="00A11E6B"/>
    <w:rsid w:val="00A12FEC"/>
    <w:rsid w:val="00A15153"/>
    <w:rsid w:val="00A17226"/>
    <w:rsid w:val="00A23837"/>
    <w:rsid w:val="00A34583"/>
    <w:rsid w:val="00A543B4"/>
    <w:rsid w:val="00A77520"/>
    <w:rsid w:val="00A8410E"/>
    <w:rsid w:val="00A966D5"/>
    <w:rsid w:val="00AB4505"/>
    <w:rsid w:val="00AE3CA6"/>
    <w:rsid w:val="00BA15DB"/>
    <w:rsid w:val="00BA3562"/>
    <w:rsid w:val="00BC1BE3"/>
    <w:rsid w:val="00BD7141"/>
    <w:rsid w:val="00BF1104"/>
    <w:rsid w:val="00BF1637"/>
    <w:rsid w:val="00C12691"/>
    <w:rsid w:val="00C1492B"/>
    <w:rsid w:val="00C20F26"/>
    <w:rsid w:val="00C37EE8"/>
    <w:rsid w:val="00C4639F"/>
    <w:rsid w:val="00CB0DCB"/>
    <w:rsid w:val="00CB1BDE"/>
    <w:rsid w:val="00CE214A"/>
    <w:rsid w:val="00D02F29"/>
    <w:rsid w:val="00D03628"/>
    <w:rsid w:val="00D264F8"/>
    <w:rsid w:val="00D44543"/>
    <w:rsid w:val="00D471F6"/>
    <w:rsid w:val="00D60660"/>
    <w:rsid w:val="00D81CA8"/>
    <w:rsid w:val="00D93EA7"/>
    <w:rsid w:val="00D94731"/>
    <w:rsid w:val="00DA09D9"/>
    <w:rsid w:val="00DA15AA"/>
    <w:rsid w:val="00DB2414"/>
    <w:rsid w:val="00DC6961"/>
    <w:rsid w:val="00E057DD"/>
    <w:rsid w:val="00E10577"/>
    <w:rsid w:val="00E37CA7"/>
    <w:rsid w:val="00E541C9"/>
    <w:rsid w:val="00E71EC3"/>
    <w:rsid w:val="00F25C50"/>
    <w:rsid w:val="00F31B45"/>
    <w:rsid w:val="00F53626"/>
    <w:rsid w:val="00F625A6"/>
    <w:rsid w:val="00F641C1"/>
    <w:rsid w:val="00F6768D"/>
    <w:rsid w:val="00F900B3"/>
    <w:rsid w:val="00F920C2"/>
    <w:rsid w:val="00F95E9F"/>
    <w:rsid w:val="00FB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E5F4"/>
  <w15:chartTrackingRefBased/>
  <w15:docId w15:val="{47BB0562-359D-4565-9FB2-A44ED892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D34AF"/>
    <w:pPr>
      <w:tabs>
        <w:tab w:val="left" w:pos="450"/>
        <w:tab w:val="left" w:pos="1080"/>
      </w:tabs>
      <w:spacing w:after="0" w:line="240" w:lineRule="auto"/>
      <w:jc w:val="center"/>
    </w:pPr>
    <w:rPr>
      <w:rFonts w:ascii="Times New Roman" w:eastAsia="Times New Roman" w:hAnsi="Times New Roman" w:cs="Times New Roman"/>
      <w:b/>
      <w:sz w:val="23"/>
      <w:szCs w:val="20"/>
    </w:rPr>
  </w:style>
  <w:style w:type="character" w:customStyle="1" w:styleId="TitleChar">
    <w:name w:val="Title Char"/>
    <w:basedOn w:val="DefaultParagraphFont"/>
    <w:link w:val="Title"/>
    <w:rsid w:val="000D34AF"/>
    <w:rPr>
      <w:rFonts w:ascii="Times New Roman" w:eastAsia="Times New Roman" w:hAnsi="Times New Roman" w:cs="Times New Roman"/>
      <w:b/>
      <w:sz w:val="23"/>
      <w:szCs w:val="20"/>
    </w:rPr>
  </w:style>
  <w:style w:type="paragraph" w:styleId="Subtitle">
    <w:name w:val="Subtitle"/>
    <w:basedOn w:val="Normal"/>
    <w:link w:val="SubtitleChar"/>
    <w:qFormat/>
    <w:rsid w:val="000D34AF"/>
    <w:pPr>
      <w:tabs>
        <w:tab w:val="left" w:pos="4050"/>
      </w:tabs>
      <w:spacing w:after="0" w:line="240" w:lineRule="auto"/>
      <w:jc w:val="center"/>
    </w:pPr>
    <w:rPr>
      <w:rFonts w:ascii="Times New Roman" w:eastAsia="Times New Roman" w:hAnsi="Times New Roman" w:cs="Times New Roman"/>
      <w:b/>
      <w:sz w:val="23"/>
      <w:szCs w:val="20"/>
    </w:rPr>
  </w:style>
  <w:style w:type="character" w:customStyle="1" w:styleId="SubtitleChar">
    <w:name w:val="Subtitle Char"/>
    <w:basedOn w:val="DefaultParagraphFont"/>
    <w:link w:val="Subtitle"/>
    <w:rsid w:val="000D34AF"/>
    <w:rPr>
      <w:rFonts w:ascii="Times New Roman" w:eastAsia="Times New Roman" w:hAnsi="Times New Roman" w:cs="Times New Roman"/>
      <w:b/>
      <w:sz w:val="23"/>
      <w:szCs w:val="20"/>
    </w:rPr>
  </w:style>
  <w:style w:type="paragraph" w:styleId="Header">
    <w:name w:val="header"/>
    <w:basedOn w:val="Normal"/>
    <w:link w:val="HeaderChar"/>
    <w:uiPriority w:val="99"/>
    <w:unhideWhenUsed/>
    <w:rsid w:val="00982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3FD"/>
  </w:style>
  <w:style w:type="paragraph" w:styleId="Footer">
    <w:name w:val="footer"/>
    <w:basedOn w:val="Normal"/>
    <w:link w:val="FooterChar"/>
    <w:uiPriority w:val="99"/>
    <w:unhideWhenUsed/>
    <w:rsid w:val="00982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3FD"/>
  </w:style>
  <w:style w:type="paragraph" w:styleId="ListParagraph">
    <w:name w:val="List Paragraph"/>
    <w:basedOn w:val="Normal"/>
    <w:uiPriority w:val="34"/>
    <w:qFormat/>
    <w:rsid w:val="004D331D"/>
    <w:pPr>
      <w:ind w:left="720"/>
      <w:contextualSpacing/>
    </w:pPr>
  </w:style>
  <w:style w:type="paragraph" w:styleId="Revision">
    <w:name w:val="Revision"/>
    <w:hidden/>
    <w:uiPriority w:val="99"/>
    <w:semiHidden/>
    <w:rsid w:val="00E105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DBA93-5D99-4379-8E72-464603CF6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Portage</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Peterson</dc:creator>
  <cp:keywords/>
  <dc:description/>
  <cp:lastModifiedBy>Jonathon Hallberg</cp:lastModifiedBy>
  <cp:revision>8</cp:revision>
  <cp:lastPrinted>2024-09-12T20:40:00Z</cp:lastPrinted>
  <dcterms:created xsi:type="dcterms:W3CDTF">2025-04-08T20:35:00Z</dcterms:created>
  <dcterms:modified xsi:type="dcterms:W3CDTF">2025-11-07T14:47:00Z</dcterms:modified>
</cp:coreProperties>
</file>